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47" w:rsidRDefault="00014F88">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桐城市人民医院排污许可证自行监测及证后管理服务采购项目</w:t>
      </w:r>
    </w:p>
    <w:p w:rsidR="00981F47" w:rsidRDefault="00014F88">
      <w:pPr>
        <w:jc w:val="center"/>
        <w:rPr>
          <w:rFonts w:ascii="仿宋" w:eastAsia="仿宋" w:hAnsi="仿宋" w:cs="仿宋"/>
          <w:b/>
          <w:bCs/>
          <w:sz w:val="32"/>
          <w:szCs w:val="32"/>
        </w:rPr>
      </w:pPr>
      <w:r>
        <w:rPr>
          <w:rFonts w:ascii="仿宋" w:eastAsia="仿宋" w:hAnsi="仿宋" w:cs="仿宋" w:hint="eastAsia"/>
          <w:b/>
          <w:sz w:val="32"/>
          <w:szCs w:val="32"/>
        </w:rPr>
        <w:t>公开询价招标</w:t>
      </w:r>
    </w:p>
    <w:p w:rsidR="00981F47" w:rsidRDefault="00014F88">
      <w:pPr>
        <w:pStyle w:val="a6"/>
        <w:numPr>
          <w:ilvl w:val="0"/>
          <w:numId w:val="1"/>
        </w:numPr>
        <w:spacing w:line="500" w:lineRule="exact"/>
        <w:rPr>
          <w:rFonts w:ascii="仿宋" w:eastAsia="仿宋" w:hAnsi="仿宋" w:cs="仿宋"/>
          <w:b/>
          <w:bCs/>
          <w:sz w:val="28"/>
          <w:szCs w:val="28"/>
        </w:rPr>
      </w:pPr>
      <w:r>
        <w:rPr>
          <w:rFonts w:ascii="仿宋" w:eastAsia="仿宋" w:hAnsi="仿宋" w:cs="仿宋" w:hint="eastAsia"/>
          <w:b/>
          <w:bCs/>
          <w:sz w:val="28"/>
          <w:szCs w:val="28"/>
        </w:rPr>
        <w:t>招标条件</w:t>
      </w:r>
    </w:p>
    <w:p w:rsidR="00981F47" w:rsidRDefault="00014F88">
      <w:pPr>
        <w:pStyle w:val="a6"/>
        <w:adjustRightInd w:val="0"/>
        <w:snapToGrid w:val="0"/>
        <w:spacing w:line="500" w:lineRule="exact"/>
        <w:ind w:leftChars="266" w:left="2239" w:hangingChars="600" w:hanging="168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桐城市人民医院排污许可证自行监测及证后管理服务采购项目</w:t>
      </w:r>
    </w:p>
    <w:p w:rsidR="00981F47" w:rsidRDefault="00014F88">
      <w:pPr>
        <w:pStyle w:val="a6"/>
        <w:adjustRightInd w:val="0"/>
        <w:snapToGrid w:val="0"/>
        <w:spacing w:line="50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981F47" w:rsidRDefault="00014F88">
      <w:pPr>
        <w:pStyle w:val="a6"/>
        <w:adjustRightInd w:val="0"/>
        <w:snapToGrid w:val="0"/>
        <w:spacing w:line="50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桐城市龙腾街道望溪路166号</w:t>
      </w:r>
      <w:r>
        <w:rPr>
          <w:rFonts w:ascii="仿宋" w:eastAsia="仿宋" w:hAnsi="仿宋" w:cs="仿宋" w:hint="eastAsia"/>
          <w:bCs/>
          <w:sz w:val="28"/>
          <w:szCs w:val="28"/>
        </w:rPr>
        <w:t>；</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自行监测要求对各项污染因子进行第三方检测及数据填报，完成季度、年度报告，确保以上完成的工作，符合国家相关法律法规和当地生态环境主管部门要求，按照排污许可证自行监测要求，在全国排污许可证管理信息平台，管理数据、上传数据、编制完成季度、年度报告,如出现上传数据漏报或上传数据不及时等违规情况受到环保部门处罚，造成损失和责任由中标人负责，及时提供2份纸质版的检测报告（周、月、季、年）用于上级主管部门进行核查。</w:t>
      </w:r>
    </w:p>
    <w:p w:rsidR="00981F47" w:rsidRDefault="00014F88">
      <w:pPr>
        <w:pStyle w:val="a6"/>
        <w:adjustRightInd w:val="0"/>
        <w:snapToGrid w:val="0"/>
        <w:spacing w:line="50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自合同签订之日起一年内完成。</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981F47" w:rsidRDefault="00014F88">
      <w:pPr>
        <w:pStyle w:val="a6"/>
        <w:adjustRightInd w:val="0"/>
        <w:snapToGrid w:val="0"/>
        <w:spacing w:line="500" w:lineRule="exact"/>
        <w:ind w:firstLineChars="200" w:firstLine="560"/>
        <w:rPr>
          <w:rFonts w:ascii="仿宋" w:eastAsia="仿宋" w:hAnsi="仿宋" w:cs="仿宋"/>
          <w:b/>
          <w:sz w:val="28"/>
          <w:szCs w:val="28"/>
        </w:rPr>
      </w:pPr>
      <w:r>
        <w:rPr>
          <w:rFonts w:ascii="仿宋" w:eastAsia="仿宋" w:hAnsi="仿宋" w:cs="仿宋" w:hint="eastAsia"/>
          <w:bCs/>
          <w:sz w:val="28"/>
          <w:szCs w:val="28"/>
        </w:rPr>
        <w:t>2、</w:t>
      </w:r>
      <w:r>
        <w:rPr>
          <w:rFonts w:ascii="仿宋" w:eastAsia="仿宋" w:hAnsi="仿宋" w:cs="仿宋" w:hint="eastAsia"/>
          <w:b/>
          <w:sz w:val="28"/>
          <w:szCs w:val="28"/>
        </w:rPr>
        <w:t>2025年安徽省社会生态环境监测机构环境信用评价结果为A级和B级，（提供相关证明文件或安徽省生态环境厅官网截图加盖公章）</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981F47" w:rsidRDefault="00014F88">
      <w:pPr>
        <w:pStyle w:val="a6"/>
        <w:adjustRightInd w:val="0"/>
        <w:snapToGrid w:val="0"/>
        <w:spacing w:line="500" w:lineRule="exact"/>
        <w:ind w:firstLineChars="200" w:firstLine="560"/>
        <w:rPr>
          <w:rFonts w:ascii="仿宋" w:eastAsia="仿宋" w:hAnsi="仿宋" w:cs="仿宋"/>
          <w:b/>
          <w:sz w:val="28"/>
          <w:szCs w:val="28"/>
        </w:rPr>
      </w:pPr>
      <w:r>
        <w:rPr>
          <w:rFonts w:ascii="仿宋" w:eastAsia="仿宋" w:hAnsi="仿宋" w:cs="仿宋" w:hint="eastAsia"/>
          <w:bCs/>
          <w:sz w:val="28"/>
          <w:szCs w:val="28"/>
        </w:rPr>
        <w:lastRenderedPageBreak/>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b/>
          <w:sz w:val="28"/>
          <w:szCs w:val="28"/>
        </w:rPr>
        <w:t>四、最高控价</w:t>
      </w:r>
    </w:p>
    <w:p w:rsidR="00981F47" w:rsidRDefault="00014F88">
      <w:pPr>
        <w:spacing w:line="50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t>桐城市人民医院排污许可证自行监测及证后管理服务采购项目：</w:t>
      </w:r>
      <w:r>
        <w:rPr>
          <w:rFonts w:ascii="仿宋" w:eastAsia="仿宋" w:hAnsi="仿宋" w:cs="仿宋" w:hint="eastAsia"/>
          <w:b/>
          <w:bCs/>
          <w:sz w:val="28"/>
          <w:szCs w:val="28"/>
          <w:u w:val="single"/>
        </w:rPr>
        <w:t>15.0万元/年。</w:t>
      </w:r>
    </w:p>
    <w:p w:rsidR="00981F47" w:rsidRDefault="00014F88">
      <w:pPr>
        <w:pStyle w:val="a6"/>
        <w:adjustRightInd w:val="0"/>
        <w:snapToGrid w:val="0"/>
        <w:spacing w:line="500" w:lineRule="exact"/>
        <w:rPr>
          <w:rFonts w:ascii="仿宋" w:eastAsia="仿宋" w:hAnsi="仿宋" w:cs="仿宋"/>
          <w:bCs/>
          <w:sz w:val="28"/>
          <w:szCs w:val="28"/>
        </w:rPr>
      </w:pPr>
      <w:r>
        <w:rPr>
          <w:rFonts w:ascii="仿宋" w:eastAsia="仿宋" w:hAnsi="仿宋" w:cs="仿宋" w:hint="eastAsia"/>
          <w:b/>
          <w:sz w:val="28"/>
          <w:szCs w:val="28"/>
        </w:rPr>
        <w:t>五、付款方式</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每半年支付一次，每次支付合同价款的50%，结算前提供国家正规发票和完整的检测报告。</w:t>
      </w:r>
    </w:p>
    <w:p w:rsidR="00981F47" w:rsidRDefault="00014F88">
      <w:pPr>
        <w:pStyle w:val="a6"/>
        <w:adjustRightInd w:val="0"/>
        <w:snapToGrid w:val="0"/>
        <w:spacing w:line="50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t>1、投标文件提交截止时间：</w:t>
      </w:r>
      <w:r>
        <w:rPr>
          <w:rFonts w:ascii="仿宋" w:eastAsia="仿宋" w:hAnsi="仿宋" w:cs="仿宋" w:hint="eastAsia"/>
          <w:b/>
          <w:bCs/>
          <w:sz w:val="28"/>
          <w:szCs w:val="28"/>
          <w:u w:val="single"/>
        </w:rPr>
        <w:t>2025年</w:t>
      </w:r>
      <w:r w:rsidR="00296245">
        <w:rPr>
          <w:rFonts w:ascii="仿宋" w:eastAsia="仿宋" w:hAnsi="仿宋" w:cs="仿宋" w:hint="eastAsia"/>
          <w:b/>
          <w:bCs/>
          <w:sz w:val="28"/>
          <w:szCs w:val="28"/>
          <w:u w:val="single"/>
        </w:rPr>
        <w:t>7</w:t>
      </w:r>
      <w:r>
        <w:rPr>
          <w:rFonts w:ascii="仿宋" w:eastAsia="仿宋" w:hAnsi="仿宋" w:cs="仿宋" w:hint="eastAsia"/>
          <w:b/>
          <w:bCs/>
          <w:sz w:val="28"/>
          <w:szCs w:val="28"/>
          <w:u w:val="single"/>
        </w:rPr>
        <w:t>月</w:t>
      </w:r>
      <w:bookmarkStart w:id="0" w:name="_GoBack"/>
      <w:bookmarkEnd w:id="0"/>
      <w:r>
        <w:rPr>
          <w:rFonts w:ascii="仿宋" w:eastAsia="仿宋" w:hAnsi="仿宋" w:cs="仿宋" w:hint="eastAsia"/>
          <w:b/>
          <w:bCs/>
          <w:sz w:val="28"/>
          <w:szCs w:val="28"/>
          <w:u w:val="single"/>
        </w:rPr>
        <w:t xml:space="preserve"> </w:t>
      </w:r>
      <w:r w:rsidR="00296245">
        <w:rPr>
          <w:rFonts w:ascii="仿宋" w:eastAsia="仿宋" w:hAnsi="仿宋" w:cs="仿宋" w:hint="eastAsia"/>
          <w:b/>
          <w:bCs/>
          <w:sz w:val="28"/>
          <w:szCs w:val="28"/>
          <w:u w:val="single"/>
        </w:rPr>
        <w:t>7</w:t>
      </w:r>
      <w:r>
        <w:rPr>
          <w:rFonts w:ascii="仿宋" w:eastAsia="仿宋" w:hAnsi="仿宋" w:cs="仿宋" w:hint="eastAsia"/>
          <w:b/>
          <w:bCs/>
          <w:sz w:val="28"/>
          <w:szCs w:val="28"/>
          <w:u w:val="single"/>
        </w:rPr>
        <w:t>日</w:t>
      </w:r>
      <w:r w:rsidR="00296245">
        <w:rPr>
          <w:rFonts w:ascii="仿宋" w:eastAsia="仿宋" w:hAnsi="仿宋" w:cs="仿宋" w:hint="eastAsia"/>
          <w:b/>
          <w:bCs/>
          <w:sz w:val="28"/>
          <w:szCs w:val="28"/>
          <w:u w:val="single"/>
        </w:rPr>
        <w:t>16</w:t>
      </w:r>
      <w:r>
        <w:rPr>
          <w:rFonts w:ascii="仿宋" w:eastAsia="仿宋" w:hAnsi="仿宋" w:cs="仿宋" w:hint="eastAsia"/>
          <w:b/>
          <w:bCs/>
          <w:sz w:val="28"/>
          <w:szCs w:val="28"/>
          <w:u w:val="single"/>
        </w:rPr>
        <w:t>点</w:t>
      </w:r>
      <w:r w:rsidR="00296245">
        <w:rPr>
          <w:rFonts w:ascii="仿宋" w:eastAsia="仿宋" w:hAnsi="仿宋" w:cs="仿宋" w:hint="eastAsia"/>
          <w:b/>
          <w:bCs/>
          <w:sz w:val="28"/>
          <w:szCs w:val="28"/>
          <w:u w:val="single"/>
        </w:rPr>
        <w:t>00</w:t>
      </w:r>
      <w:r>
        <w:rPr>
          <w:rFonts w:ascii="仿宋" w:eastAsia="仿宋" w:hAnsi="仿宋" w:cs="仿宋" w:hint="eastAsia"/>
          <w:b/>
          <w:bCs/>
          <w:sz w:val="28"/>
          <w:szCs w:val="28"/>
          <w:u w:val="single"/>
        </w:rPr>
        <w:t>分（北京时间）</w:t>
      </w:r>
      <w:r>
        <w:rPr>
          <w:rFonts w:ascii="仿宋" w:eastAsia="仿宋" w:hAnsi="仿宋" w:cs="仿宋" w:hint="eastAsia"/>
          <w:bCs/>
          <w:sz w:val="28"/>
          <w:szCs w:val="28"/>
        </w:rPr>
        <w:t xml:space="preserve">；  </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981F47" w:rsidRDefault="00014F88">
      <w:pPr>
        <w:pStyle w:val="a6"/>
        <w:adjustRightInd w:val="0"/>
        <w:snapToGrid w:val="0"/>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b/>
          <w:sz w:val="28"/>
          <w:szCs w:val="28"/>
        </w:rPr>
        <w:t>七、确定中标单位</w:t>
      </w:r>
    </w:p>
    <w:p w:rsidR="00981F47" w:rsidRDefault="00014F88">
      <w:pPr>
        <w:pStyle w:val="2"/>
        <w:spacing w:line="50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981F47" w:rsidRDefault="00014F88">
      <w:pPr>
        <w:spacing w:line="50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981F47" w:rsidRDefault="00014F88">
      <w:pPr>
        <w:pStyle w:val="a6"/>
        <w:adjustRightInd w:val="0"/>
        <w:snapToGrid w:val="0"/>
        <w:spacing w:line="500" w:lineRule="exact"/>
        <w:rPr>
          <w:rFonts w:ascii="仿宋" w:eastAsia="仿宋" w:hAnsi="仿宋" w:cs="仿宋"/>
          <w:b/>
          <w:sz w:val="28"/>
          <w:szCs w:val="28"/>
        </w:rPr>
      </w:pPr>
      <w:r>
        <w:rPr>
          <w:rFonts w:ascii="仿宋" w:eastAsia="仿宋" w:hAnsi="仿宋" w:cs="仿宋" w:hint="eastAsia"/>
          <w:b/>
          <w:sz w:val="28"/>
          <w:szCs w:val="28"/>
        </w:rPr>
        <w:t>八、联系方式</w:t>
      </w:r>
    </w:p>
    <w:p w:rsidR="00981F47" w:rsidRDefault="00014F88">
      <w:pPr>
        <w:pStyle w:val="a6"/>
        <w:adjustRightInd w:val="0"/>
        <w:snapToGrid w:val="0"/>
        <w:spacing w:line="50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项目联系人：彭先生  15156274810</w:t>
      </w:r>
    </w:p>
    <w:p w:rsidR="00981F47" w:rsidRDefault="00981F47">
      <w:pPr>
        <w:pStyle w:val="a6"/>
        <w:adjustRightInd w:val="0"/>
        <w:snapToGrid w:val="0"/>
        <w:spacing w:line="500" w:lineRule="exact"/>
        <w:ind w:leftChars="266" w:left="559"/>
        <w:rPr>
          <w:rFonts w:ascii="仿宋" w:eastAsia="仿宋" w:hAnsi="仿宋" w:cs="仿宋"/>
          <w:bCs/>
          <w:sz w:val="28"/>
          <w:szCs w:val="28"/>
        </w:rPr>
      </w:pPr>
    </w:p>
    <w:p w:rsidR="00981F47" w:rsidRDefault="00014F88">
      <w:pPr>
        <w:pStyle w:val="a6"/>
        <w:adjustRightInd w:val="0"/>
        <w:snapToGrid w:val="0"/>
        <w:spacing w:line="500" w:lineRule="exact"/>
        <w:ind w:leftChars="2600" w:left="5740" w:hangingChars="100" w:hanging="280"/>
        <w:jc w:val="left"/>
        <w:rPr>
          <w:rFonts w:ascii="仿宋" w:eastAsia="仿宋" w:hAnsi="仿宋" w:cs="仿宋"/>
          <w:bCs/>
          <w:sz w:val="28"/>
          <w:szCs w:val="28"/>
        </w:rPr>
      </w:pPr>
      <w:r>
        <w:rPr>
          <w:rFonts w:ascii="仿宋" w:eastAsia="仿宋" w:hAnsi="仿宋" w:cs="仿宋" w:hint="eastAsia"/>
          <w:bCs/>
          <w:sz w:val="28"/>
          <w:szCs w:val="28"/>
        </w:rPr>
        <w:t xml:space="preserve">安徽省桐城市人民医院 </w:t>
      </w:r>
      <w:r>
        <w:rPr>
          <w:rFonts w:ascii="仿宋" w:eastAsia="仿宋" w:hAnsi="仿宋" w:cs="仿宋" w:hint="eastAsia"/>
          <w:bCs/>
          <w:sz w:val="28"/>
          <w:szCs w:val="28"/>
        </w:rPr>
        <w:cr/>
        <w:t>2025年7月1日</w:t>
      </w:r>
    </w:p>
    <w:p w:rsidR="00981F47" w:rsidRDefault="00981F47">
      <w:pPr>
        <w:rPr>
          <w:rFonts w:ascii="仿宋" w:eastAsia="仿宋" w:hAnsi="仿宋" w:cs="仿宋"/>
          <w:bCs/>
          <w:sz w:val="28"/>
          <w:szCs w:val="28"/>
        </w:rPr>
        <w:sectPr w:rsidR="00981F47">
          <w:pgSz w:w="11906" w:h="16838"/>
          <w:pgMar w:top="1440" w:right="1800" w:bottom="1440" w:left="1800" w:header="851" w:footer="992" w:gutter="0"/>
          <w:cols w:space="720"/>
          <w:docGrid w:type="lines" w:linePitch="312"/>
        </w:sectPr>
      </w:pPr>
    </w:p>
    <w:p w:rsidR="00981F47" w:rsidRDefault="00014F88">
      <w:pPr>
        <w:jc w:val="center"/>
        <w:rPr>
          <w:rFonts w:ascii="仿宋" w:eastAsia="仿宋" w:hAnsi="仿宋" w:cs="仿宋"/>
          <w:b/>
          <w:sz w:val="28"/>
          <w:szCs w:val="28"/>
        </w:rPr>
      </w:pPr>
      <w:r>
        <w:rPr>
          <w:rFonts w:ascii="仿宋" w:eastAsia="仿宋" w:hAnsi="仿宋" w:cs="仿宋" w:hint="eastAsia"/>
          <w:b/>
          <w:sz w:val="28"/>
          <w:szCs w:val="28"/>
        </w:rPr>
        <w:lastRenderedPageBreak/>
        <w:t>自行监测及记录表</w:t>
      </w:r>
    </w:p>
    <w:tbl>
      <w:tblPr>
        <w:tblStyle w:val="ab"/>
        <w:tblW w:w="0" w:type="auto"/>
        <w:tblInd w:w="-465" w:type="dxa"/>
        <w:tblLayout w:type="fixed"/>
        <w:tblLook w:val="04A0"/>
      </w:tblPr>
      <w:tblGrid>
        <w:gridCol w:w="764"/>
        <w:gridCol w:w="824"/>
        <w:gridCol w:w="717"/>
        <w:gridCol w:w="972"/>
        <w:gridCol w:w="1096"/>
        <w:gridCol w:w="708"/>
        <w:gridCol w:w="765"/>
        <w:gridCol w:w="951"/>
        <w:gridCol w:w="1195"/>
        <w:gridCol w:w="1725"/>
        <w:gridCol w:w="1265"/>
        <w:gridCol w:w="870"/>
        <w:gridCol w:w="2016"/>
        <w:gridCol w:w="771"/>
      </w:tblGrid>
      <w:tr w:rsidR="00981F47">
        <w:tc>
          <w:tcPr>
            <w:tcW w:w="76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排放口名称</w:t>
            </w: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监测内容</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其他信息</w:t>
            </w:r>
          </w:p>
        </w:tc>
      </w:tr>
      <w:tr w:rsidR="00981F47">
        <w:tc>
          <w:tcPr>
            <w:tcW w:w="76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废</w:t>
            </w:r>
          </w:p>
          <w:p w:rsidR="00981F47" w:rsidRDefault="00014F88">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1#锅炉排气筒</w:t>
            </w:r>
          </w:p>
        </w:tc>
        <w:tc>
          <w:tcPr>
            <w:tcW w:w="972" w:type="dxa"/>
            <w:vMerge w:val="restart"/>
            <w:vAlign w:val="center"/>
          </w:tcPr>
          <w:p w:rsidR="00981F47" w:rsidRDefault="00014F88">
            <w:pPr>
              <w:jc w:val="left"/>
              <w:rPr>
                <w:rFonts w:ascii="仿宋" w:eastAsia="仿宋" w:hAnsi="仿宋" w:cs="仿宋"/>
                <w:sz w:val="24"/>
              </w:rPr>
            </w:pPr>
            <w:r>
              <w:rPr>
                <w:rFonts w:ascii="仿宋" w:eastAsia="仿宋" w:hAnsi="仿宋" w:cs="仿宋" w:hint="eastAsia"/>
                <w:sz w:val="24"/>
              </w:rPr>
              <w:t>烟道截面积，烟气流速，烟气压力、烟气温度</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氮氧化物</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shd w:val="clear" w:color="auto" w:fill="auto"/>
            <w:vAlign w:val="center"/>
          </w:tcPr>
          <w:p w:rsidR="00981F47" w:rsidRDefault="00981F47">
            <w:pPr>
              <w:jc w:val="center"/>
              <w:rPr>
                <w:rFonts w:ascii="仿宋" w:eastAsia="仿宋" w:hAnsi="仿宋" w:cs="仿宋"/>
                <w:sz w:val="24"/>
              </w:rPr>
            </w:pPr>
          </w:p>
        </w:tc>
        <w:tc>
          <w:tcPr>
            <w:tcW w:w="951" w:type="dxa"/>
            <w:shd w:val="clear" w:color="auto" w:fill="auto"/>
            <w:vAlign w:val="center"/>
          </w:tcPr>
          <w:p w:rsidR="00981F47" w:rsidRDefault="00981F47">
            <w:pPr>
              <w:jc w:val="center"/>
              <w:rPr>
                <w:rFonts w:ascii="仿宋" w:eastAsia="仿宋" w:hAnsi="仿宋" w:cs="仿宋"/>
                <w:sz w:val="24"/>
              </w:rPr>
            </w:pPr>
          </w:p>
        </w:tc>
        <w:tc>
          <w:tcPr>
            <w:tcW w:w="1195" w:type="dxa"/>
            <w:shd w:val="clear" w:color="auto" w:fill="auto"/>
            <w:vAlign w:val="center"/>
          </w:tcPr>
          <w:p w:rsidR="00981F47" w:rsidRDefault="00981F47">
            <w:pPr>
              <w:jc w:val="center"/>
              <w:rPr>
                <w:rFonts w:ascii="仿宋" w:eastAsia="仿宋" w:hAnsi="仿宋" w:cs="仿宋"/>
                <w:sz w:val="24"/>
              </w:rPr>
            </w:pPr>
          </w:p>
        </w:tc>
        <w:tc>
          <w:tcPr>
            <w:tcW w:w="1725" w:type="dxa"/>
            <w:shd w:val="clear" w:color="auto" w:fill="auto"/>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二氧化硫</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shd w:val="clear" w:color="auto" w:fill="auto"/>
            <w:vAlign w:val="center"/>
          </w:tcPr>
          <w:p w:rsidR="00981F47" w:rsidRDefault="00981F47">
            <w:pPr>
              <w:jc w:val="center"/>
              <w:rPr>
                <w:rFonts w:ascii="仿宋" w:eastAsia="仿宋" w:hAnsi="仿宋" w:cs="仿宋"/>
                <w:sz w:val="24"/>
              </w:rPr>
            </w:pPr>
          </w:p>
        </w:tc>
        <w:tc>
          <w:tcPr>
            <w:tcW w:w="951" w:type="dxa"/>
            <w:shd w:val="clear" w:color="auto" w:fill="auto"/>
            <w:vAlign w:val="center"/>
          </w:tcPr>
          <w:p w:rsidR="00981F47" w:rsidRDefault="00981F47">
            <w:pPr>
              <w:jc w:val="center"/>
              <w:rPr>
                <w:rFonts w:ascii="仿宋" w:eastAsia="仿宋" w:hAnsi="仿宋" w:cs="仿宋"/>
                <w:sz w:val="24"/>
              </w:rPr>
            </w:pPr>
          </w:p>
        </w:tc>
        <w:tc>
          <w:tcPr>
            <w:tcW w:w="1195" w:type="dxa"/>
            <w:shd w:val="clear" w:color="auto" w:fill="auto"/>
            <w:vAlign w:val="center"/>
          </w:tcPr>
          <w:p w:rsidR="00981F47" w:rsidRDefault="00981F47">
            <w:pPr>
              <w:jc w:val="center"/>
              <w:rPr>
                <w:rFonts w:ascii="仿宋" w:eastAsia="仿宋" w:hAnsi="仿宋" w:cs="仿宋"/>
                <w:sz w:val="24"/>
              </w:rPr>
            </w:pPr>
          </w:p>
        </w:tc>
        <w:tc>
          <w:tcPr>
            <w:tcW w:w="1725" w:type="dxa"/>
            <w:shd w:val="clear" w:color="auto" w:fill="auto"/>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固定污染物排气中二氧化硫的测定碘量法HJ/T57-2000</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颗粒物</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shd w:val="clear" w:color="auto" w:fill="auto"/>
            <w:vAlign w:val="center"/>
          </w:tcPr>
          <w:p w:rsidR="00981F47" w:rsidRDefault="00981F47">
            <w:pPr>
              <w:jc w:val="center"/>
              <w:rPr>
                <w:rFonts w:ascii="仿宋" w:eastAsia="仿宋" w:hAnsi="仿宋" w:cs="仿宋"/>
                <w:sz w:val="24"/>
              </w:rPr>
            </w:pPr>
          </w:p>
        </w:tc>
        <w:tc>
          <w:tcPr>
            <w:tcW w:w="951" w:type="dxa"/>
            <w:shd w:val="clear" w:color="auto" w:fill="auto"/>
            <w:vAlign w:val="center"/>
          </w:tcPr>
          <w:p w:rsidR="00981F47" w:rsidRDefault="00981F47">
            <w:pPr>
              <w:jc w:val="center"/>
              <w:rPr>
                <w:rFonts w:ascii="仿宋" w:eastAsia="仿宋" w:hAnsi="仿宋" w:cs="仿宋"/>
                <w:sz w:val="24"/>
              </w:rPr>
            </w:pPr>
          </w:p>
        </w:tc>
        <w:tc>
          <w:tcPr>
            <w:tcW w:w="1195" w:type="dxa"/>
            <w:shd w:val="clear" w:color="auto" w:fill="auto"/>
            <w:vAlign w:val="center"/>
          </w:tcPr>
          <w:p w:rsidR="00981F47" w:rsidRDefault="00981F47">
            <w:pPr>
              <w:jc w:val="center"/>
              <w:rPr>
                <w:rFonts w:ascii="仿宋" w:eastAsia="仿宋" w:hAnsi="仿宋" w:cs="仿宋"/>
                <w:sz w:val="24"/>
              </w:rPr>
            </w:pPr>
          </w:p>
        </w:tc>
        <w:tc>
          <w:tcPr>
            <w:tcW w:w="1725" w:type="dxa"/>
            <w:shd w:val="clear" w:color="auto" w:fill="auto"/>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2#锅炉排</w:t>
            </w:r>
            <w:r>
              <w:rPr>
                <w:rFonts w:ascii="仿宋" w:eastAsia="仿宋" w:hAnsi="仿宋" w:cs="仿宋" w:hint="eastAsia"/>
                <w:sz w:val="24"/>
              </w:rPr>
              <w:lastRenderedPageBreak/>
              <w:t>气筒</w:t>
            </w:r>
          </w:p>
        </w:tc>
        <w:tc>
          <w:tcPr>
            <w:tcW w:w="972"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烟道截面积，</w:t>
            </w:r>
            <w:r>
              <w:rPr>
                <w:rFonts w:ascii="仿宋" w:eastAsia="仿宋" w:hAnsi="仿宋" w:cs="仿宋" w:hint="eastAsia"/>
                <w:sz w:val="24"/>
              </w:rPr>
              <w:lastRenderedPageBreak/>
              <w:t>烟气流速，烟气压力、烟气温度</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固定污染源排放烟气黑度的测定</w:t>
            </w:r>
            <w:r>
              <w:rPr>
                <w:rFonts w:ascii="仿宋" w:eastAsia="仿宋" w:hAnsi="仿宋" w:cs="仿宋" w:hint="eastAsia"/>
                <w:sz w:val="24"/>
              </w:rPr>
              <w:lastRenderedPageBreak/>
              <w:t>林格曼烟气黑度图法HJ/T398-2007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固定污染物排气中二氧化硫的测定碘量法HJ/T57-2000</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3#锅炉排气筒</w:t>
            </w:r>
          </w:p>
        </w:tc>
        <w:tc>
          <w:tcPr>
            <w:tcW w:w="972"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烟道截面积，烟气流速，烟气压力、烟气温度</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二氧化</w:t>
            </w:r>
            <w:r>
              <w:rPr>
                <w:rFonts w:ascii="仿宋" w:eastAsia="仿宋" w:hAnsi="仿宋" w:cs="仿宋" w:hint="eastAsia"/>
                <w:sz w:val="24"/>
              </w:rPr>
              <w:lastRenderedPageBreak/>
              <w:t>硫</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固定污染物排气</w:t>
            </w:r>
            <w:r>
              <w:rPr>
                <w:rFonts w:ascii="仿宋" w:eastAsia="仿宋" w:hAnsi="仿宋" w:cs="仿宋" w:hint="eastAsia"/>
                <w:sz w:val="24"/>
              </w:rPr>
              <w:lastRenderedPageBreak/>
              <w:t>中二氧化硫的测定碘量法HJ/T57-2000</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4#锅炉排气筒</w:t>
            </w:r>
          </w:p>
        </w:tc>
        <w:tc>
          <w:tcPr>
            <w:tcW w:w="972"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烟道截面积，烟气流速，烟气压力、烟气温度</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固定污染物排气中二氧化硫的测定碘量法HJ/T57-2000</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污水处理站废气排放筒</w:t>
            </w: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空气流速</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空气流速</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空气质量氨的测定 离子选择电极法GBT14669-1993</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空气流速</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空气质量硫化氢甲硫醇甲硫醚</w:t>
            </w:r>
          </w:p>
          <w:p w:rsidR="00981F47" w:rsidRDefault="00014F88">
            <w:pPr>
              <w:jc w:val="center"/>
              <w:rPr>
                <w:rFonts w:ascii="仿宋" w:eastAsia="仿宋" w:hAnsi="仿宋" w:cs="仿宋"/>
                <w:sz w:val="24"/>
              </w:rPr>
            </w:pPr>
            <w:r>
              <w:rPr>
                <w:rFonts w:ascii="仿宋" w:eastAsia="仿宋" w:hAnsi="仿宋" w:cs="仿宋" w:hint="eastAsia"/>
                <w:sz w:val="24"/>
              </w:rPr>
              <w:t>二甲二硫的测定</w:t>
            </w:r>
          </w:p>
          <w:p w:rsidR="00981F47" w:rsidRDefault="00014F88">
            <w:pPr>
              <w:jc w:val="center"/>
              <w:rPr>
                <w:rFonts w:ascii="仿宋" w:eastAsia="仿宋" w:hAnsi="仿宋" w:cs="仿宋"/>
                <w:sz w:val="24"/>
              </w:rPr>
            </w:pPr>
            <w:r>
              <w:rPr>
                <w:rFonts w:ascii="仿宋" w:eastAsia="仿宋" w:hAnsi="仿宋" w:cs="仿宋" w:hint="eastAsia"/>
                <w:sz w:val="24"/>
              </w:rPr>
              <w:t>气相色谱法</w:t>
            </w:r>
          </w:p>
          <w:p w:rsidR="00981F47" w:rsidRDefault="00014F88">
            <w:pPr>
              <w:jc w:val="center"/>
              <w:rPr>
                <w:rFonts w:ascii="仿宋" w:eastAsia="仿宋" w:hAnsi="仿宋" w:cs="仿宋"/>
                <w:sz w:val="24"/>
              </w:rPr>
            </w:pPr>
            <w:r>
              <w:rPr>
                <w:rFonts w:ascii="仿宋" w:eastAsia="仿宋" w:hAnsi="仿宋" w:cs="仿宋" w:hint="eastAsia"/>
                <w:sz w:val="24"/>
              </w:rPr>
              <w:t>GBT14678-1993</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restart"/>
          </w:tcPr>
          <w:p w:rsidR="00981F47" w:rsidRDefault="00014F88">
            <w:pPr>
              <w:jc w:val="center"/>
              <w:rPr>
                <w:rFonts w:ascii="仿宋" w:eastAsia="仿宋" w:hAnsi="仿宋" w:cs="仿宋"/>
                <w:sz w:val="24"/>
              </w:rPr>
            </w:pPr>
            <w:r>
              <w:rPr>
                <w:rFonts w:ascii="仿宋" w:eastAsia="仿宋" w:hAnsi="仿宋" w:cs="仿宋" w:hint="eastAsia"/>
                <w:sz w:val="24"/>
              </w:rPr>
              <w:t>废气</w:t>
            </w: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污水处理站周界</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风速，风向</w:t>
            </w: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甲烷</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非连续采样至少4个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981F47" w:rsidRDefault="00981F47">
            <w:pPr>
              <w:jc w:val="center"/>
              <w:rPr>
                <w:rFonts w:ascii="仿宋" w:eastAsia="仿宋" w:hAnsi="仿宋" w:cs="仿宋"/>
                <w:sz w:val="24"/>
              </w:rPr>
            </w:pPr>
          </w:p>
        </w:tc>
      </w:tr>
      <w:tr w:rsidR="00981F47">
        <w:tc>
          <w:tcPr>
            <w:tcW w:w="764" w:type="dxa"/>
            <w:vMerge/>
          </w:tcPr>
          <w:p w:rsidR="00981F47" w:rsidRDefault="00981F47">
            <w:pPr>
              <w:jc w:val="center"/>
              <w:rPr>
                <w:rFonts w:ascii="仿宋" w:eastAsia="仿宋" w:hAnsi="仿宋" w:cs="仿宋"/>
                <w:sz w:val="24"/>
              </w:rPr>
            </w:pP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污水处理站周界</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风速，风向</w:t>
            </w: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臭气浓度</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非连续采样至少4个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981F47" w:rsidRDefault="00981F47">
            <w:pPr>
              <w:jc w:val="center"/>
              <w:rPr>
                <w:rFonts w:ascii="仿宋" w:eastAsia="仿宋" w:hAnsi="仿宋" w:cs="仿宋"/>
                <w:sz w:val="24"/>
              </w:rPr>
            </w:pPr>
          </w:p>
        </w:tc>
      </w:tr>
      <w:tr w:rsidR="00981F47">
        <w:tc>
          <w:tcPr>
            <w:tcW w:w="764" w:type="dxa"/>
            <w:vMerge/>
          </w:tcPr>
          <w:p w:rsidR="00981F47" w:rsidRDefault="00981F47">
            <w:pPr>
              <w:jc w:val="center"/>
              <w:rPr>
                <w:rFonts w:ascii="仿宋" w:eastAsia="仿宋" w:hAnsi="仿宋" w:cs="仿宋"/>
                <w:sz w:val="24"/>
              </w:rPr>
            </w:pP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污水处理站周界</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风速，风向</w:t>
            </w: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氨（氨气）</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非连续采样至少4个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981F47" w:rsidRDefault="00981F47">
            <w:pPr>
              <w:jc w:val="center"/>
              <w:rPr>
                <w:rFonts w:ascii="仿宋" w:eastAsia="仿宋" w:hAnsi="仿宋" w:cs="仿宋"/>
                <w:sz w:val="24"/>
              </w:rPr>
            </w:pPr>
          </w:p>
        </w:tc>
      </w:tr>
      <w:tr w:rsidR="00981F47">
        <w:tc>
          <w:tcPr>
            <w:tcW w:w="764" w:type="dxa"/>
            <w:vMerge/>
          </w:tcPr>
          <w:p w:rsidR="00981F47" w:rsidRDefault="00981F47">
            <w:pPr>
              <w:jc w:val="center"/>
              <w:rPr>
                <w:rFonts w:ascii="仿宋" w:eastAsia="仿宋" w:hAnsi="仿宋" w:cs="仿宋"/>
                <w:sz w:val="24"/>
              </w:rPr>
            </w:pP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污水处理站周界</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风速，风向</w:t>
            </w: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氯气</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非连续采样至少4个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981F47" w:rsidRDefault="00981F47">
            <w:pPr>
              <w:jc w:val="center"/>
              <w:rPr>
                <w:rFonts w:ascii="仿宋" w:eastAsia="仿宋" w:hAnsi="仿宋" w:cs="仿宋"/>
                <w:sz w:val="24"/>
              </w:rPr>
            </w:pPr>
          </w:p>
        </w:tc>
      </w:tr>
      <w:tr w:rsidR="00981F47">
        <w:tc>
          <w:tcPr>
            <w:tcW w:w="764" w:type="dxa"/>
            <w:vMerge/>
          </w:tcPr>
          <w:p w:rsidR="00981F47" w:rsidRDefault="00981F47">
            <w:pPr>
              <w:jc w:val="center"/>
              <w:rPr>
                <w:rFonts w:ascii="仿宋" w:eastAsia="仿宋" w:hAnsi="仿宋" w:cs="仿宋"/>
                <w:sz w:val="24"/>
              </w:rPr>
            </w:pP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污水处理站周界</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风速，风向</w:t>
            </w: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硫化氢</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非连续采样至少4个</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981F47" w:rsidRDefault="00981F47">
            <w:pPr>
              <w:jc w:val="center"/>
              <w:rPr>
                <w:rFonts w:ascii="仿宋" w:eastAsia="仿宋" w:hAnsi="仿宋" w:cs="仿宋"/>
                <w:sz w:val="24"/>
              </w:rPr>
            </w:pPr>
          </w:p>
        </w:tc>
      </w:tr>
      <w:tr w:rsidR="00981F47">
        <w:tc>
          <w:tcPr>
            <w:tcW w:w="76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废水总排口</w:t>
            </w:r>
          </w:p>
        </w:tc>
        <w:tc>
          <w:tcPr>
            <w:tcW w:w="972" w:type="dxa"/>
            <w:vMerge w:val="restart"/>
            <w:vAlign w:val="center"/>
          </w:tcPr>
          <w:p w:rsidR="00981F47" w:rsidRDefault="00014F88">
            <w:pPr>
              <w:jc w:val="center"/>
              <w:rPr>
                <w:rFonts w:ascii="仿宋" w:eastAsia="仿宋" w:hAnsi="仿宋" w:cs="仿宋"/>
                <w:sz w:val="24"/>
              </w:rPr>
            </w:pPr>
            <w:r>
              <w:rPr>
                <w:rFonts w:ascii="仿宋" w:eastAsia="仿宋" w:hAnsi="仿宋" w:cs="仿宋" w:hint="eastAsia"/>
                <w:sz w:val="24"/>
              </w:rPr>
              <w:t>流量</w:t>
            </w: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瞬时采样至少3个瞬时样</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1次/6小时</w:t>
            </w:r>
          </w:p>
        </w:tc>
        <w:tc>
          <w:tcPr>
            <w:tcW w:w="2016" w:type="dxa"/>
            <w:vAlign w:val="center"/>
          </w:tcPr>
          <w:p w:rsidR="00981F47" w:rsidRDefault="00981F47">
            <w:pPr>
              <w:jc w:val="center"/>
              <w:rPr>
                <w:rFonts w:ascii="仿宋" w:eastAsia="仿宋" w:hAnsi="仿宋" w:cs="仿宋"/>
                <w:sz w:val="24"/>
              </w:rPr>
            </w:pP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自动监测故障超24小时，采用手工监测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间接排放时不用监测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水质悬浮物的测定重量法</w:t>
            </w:r>
          </w:p>
          <w:p w:rsidR="00981F47" w:rsidRDefault="00014F88">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水质五日生化需氧量（BOD5）的测定稀释与接种法HJ505-2009</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废水总排口</w:t>
            </w:r>
          </w:p>
        </w:tc>
        <w:tc>
          <w:tcPr>
            <w:tcW w:w="172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瞬时采样至少3个瞬时样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1次/6小时</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自动监测故障超24小时，采用手工监测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阴离子表面活性剂</w:t>
            </w:r>
          </w:p>
        </w:tc>
        <w:tc>
          <w:tcPr>
            <w:tcW w:w="708"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shd w:val="clear" w:color="auto" w:fill="auto"/>
            <w:vAlign w:val="center"/>
          </w:tcPr>
          <w:p w:rsidR="00981F47" w:rsidRDefault="00981F47">
            <w:pPr>
              <w:jc w:val="center"/>
              <w:rPr>
                <w:rFonts w:ascii="仿宋" w:eastAsia="仿宋" w:hAnsi="仿宋" w:cs="仿宋"/>
                <w:sz w:val="24"/>
              </w:rPr>
            </w:pPr>
          </w:p>
        </w:tc>
        <w:tc>
          <w:tcPr>
            <w:tcW w:w="951" w:type="dxa"/>
            <w:shd w:val="clear" w:color="auto" w:fill="auto"/>
            <w:vAlign w:val="center"/>
          </w:tcPr>
          <w:p w:rsidR="00981F47" w:rsidRDefault="00981F47">
            <w:pPr>
              <w:jc w:val="center"/>
              <w:rPr>
                <w:rFonts w:ascii="仿宋" w:eastAsia="仿宋" w:hAnsi="仿宋" w:cs="仿宋"/>
                <w:sz w:val="24"/>
              </w:rPr>
            </w:pPr>
          </w:p>
        </w:tc>
        <w:tc>
          <w:tcPr>
            <w:tcW w:w="1195" w:type="dxa"/>
            <w:shd w:val="clear" w:color="auto" w:fill="auto"/>
            <w:vAlign w:val="center"/>
          </w:tcPr>
          <w:p w:rsidR="00981F47" w:rsidRDefault="00981F47">
            <w:pPr>
              <w:jc w:val="center"/>
              <w:rPr>
                <w:rFonts w:ascii="仿宋" w:eastAsia="仿宋" w:hAnsi="仿宋" w:cs="仿宋"/>
                <w:sz w:val="24"/>
              </w:rPr>
            </w:pPr>
          </w:p>
        </w:tc>
        <w:tc>
          <w:tcPr>
            <w:tcW w:w="1725" w:type="dxa"/>
            <w:shd w:val="clear" w:color="auto" w:fill="auto"/>
            <w:vAlign w:val="center"/>
          </w:tcPr>
          <w:p w:rsidR="00981F47" w:rsidRDefault="00981F47">
            <w:pPr>
              <w:jc w:val="center"/>
              <w:rPr>
                <w:rFonts w:ascii="仿宋" w:eastAsia="仿宋" w:hAnsi="仿宋" w:cs="仿宋"/>
                <w:sz w:val="24"/>
              </w:rPr>
            </w:pPr>
          </w:p>
        </w:tc>
        <w:tc>
          <w:tcPr>
            <w:tcW w:w="1265"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shd w:val="clear" w:color="auto" w:fill="auto"/>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氨氮在线监测分析仪</w:t>
            </w:r>
          </w:p>
        </w:tc>
        <w:tc>
          <w:tcPr>
            <w:tcW w:w="119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瞬时采样至少3个瞬时样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1次/6小时</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水质氨氮的测定流动注射-水杨酸分光光度法HJ826-2017</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自动监测故障超24小时，采用手工</w:t>
            </w:r>
            <w:r>
              <w:rPr>
                <w:rFonts w:ascii="仿宋" w:eastAsia="仿宋" w:hAnsi="仿宋" w:cs="仿宋" w:hint="eastAsia"/>
                <w:sz w:val="24"/>
              </w:rPr>
              <w:lastRenderedPageBreak/>
              <w:t>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水质挥发酚的测定4-氨基安替比林分光光度法HJ503-2009</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间接排放时不用监测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粪大肠菌群数/(MPN/L)</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水质 粪大肠菌群的测定 多管发酵法（HJ/T347.2-201</w:t>
            </w:r>
            <w:r>
              <w:rPr>
                <w:rFonts w:ascii="仿宋" w:eastAsia="仿宋" w:hAnsi="仿宋" w:cs="仿宋" w:hint="eastAsia"/>
                <w:sz w:val="24"/>
              </w:rPr>
              <w:lastRenderedPageBreak/>
              <w:t>8）</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lastRenderedPageBreak/>
              <w:t>/</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间接排放时不用监测</w:t>
            </w:r>
          </w:p>
        </w:tc>
      </w:tr>
      <w:tr w:rsidR="00981F47">
        <w:tc>
          <w:tcPr>
            <w:tcW w:w="764" w:type="dxa"/>
            <w:vMerge/>
            <w:vAlign w:val="center"/>
          </w:tcPr>
          <w:p w:rsidR="00981F47" w:rsidRDefault="00981F47">
            <w:pPr>
              <w:jc w:val="center"/>
              <w:rPr>
                <w:rFonts w:ascii="仿宋" w:eastAsia="仿宋" w:hAnsi="仿宋" w:cs="仿宋"/>
                <w:sz w:val="24"/>
              </w:rPr>
            </w:pPr>
          </w:p>
        </w:tc>
        <w:tc>
          <w:tcPr>
            <w:tcW w:w="824" w:type="dxa"/>
            <w:vMerge/>
            <w:vAlign w:val="center"/>
          </w:tcPr>
          <w:p w:rsidR="00981F47" w:rsidRDefault="00981F47">
            <w:pPr>
              <w:jc w:val="center"/>
              <w:rPr>
                <w:rFonts w:ascii="仿宋" w:eastAsia="仿宋" w:hAnsi="仿宋" w:cs="仿宋"/>
                <w:sz w:val="24"/>
              </w:rPr>
            </w:pPr>
          </w:p>
        </w:tc>
        <w:tc>
          <w:tcPr>
            <w:tcW w:w="717" w:type="dxa"/>
            <w:vMerge/>
            <w:vAlign w:val="center"/>
          </w:tcPr>
          <w:p w:rsidR="00981F47" w:rsidRDefault="00981F47">
            <w:pPr>
              <w:jc w:val="center"/>
              <w:rPr>
                <w:rFonts w:ascii="仿宋" w:eastAsia="仿宋" w:hAnsi="仿宋" w:cs="仿宋"/>
                <w:sz w:val="24"/>
              </w:rPr>
            </w:pPr>
          </w:p>
        </w:tc>
        <w:tc>
          <w:tcPr>
            <w:tcW w:w="972" w:type="dxa"/>
            <w:vMerge/>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间接排放时不用监测</w:t>
            </w:r>
          </w:p>
        </w:tc>
      </w:tr>
      <w:tr w:rsidR="00981F47">
        <w:tc>
          <w:tcPr>
            <w:tcW w:w="76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噪声</w:t>
            </w:r>
          </w:p>
        </w:tc>
        <w:tc>
          <w:tcPr>
            <w:tcW w:w="82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厂界噪声</w:t>
            </w: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昼夜</w:t>
            </w:r>
          </w:p>
          <w:p w:rsidR="00981F47" w:rsidRDefault="00014F88">
            <w:pPr>
              <w:jc w:val="center"/>
              <w:rPr>
                <w:rFonts w:ascii="仿宋" w:eastAsia="仿宋" w:hAnsi="仿宋" w:cs="仿宋"/>
                <w:sz w:val="24"/>
              </w:rPr>
            </w:pPr>
            <w:r>
              <w:rPr>
                <w:rFonts w:ascii="仿宋" w:eastAsia="仿宋" w:hAnsi="仿宋" w:cs="仿宋" w:hint="eastAsia"/>
                <w:sz w:val="24"/>
              </w:rPr>
              <w:t>噪声</w:t>
            </w:r>
          </w:p>
        </w:tc>
        <w:tc>
          <w:tcPr>
            <w:tcW w:w="708" w:type="dxa"/>
            <w:vAlign w:val="center"/>
          </w:tcPr>
          <w:p w:rsidR="00981F47" w:rsidRDefault="00981F47">
            <w:pPr>
              <w:jc w:val="center"/>
              <w:rPr>
                <w:rFonts w:ascii="仿宋" w:eastAsia="仿宋" w:hAnsi="仿宋" w:cs="仿宋"/>
                <w:sz w:val="24"/>
              </w:rPr>
            </w:pP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981F47">
            <w:pPr>
              <w:jc w:val="center"/>
              <w:rPr>
                <w:rFonts w:ascii="仿宋" w:eastAsia="仿宋" w:hAnsi="仿宋" w:cs="仿宋"/>
                <w:sz w:val="24"/>
              </w:rPr>
            </w:pP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《工业企业厂界环境噪声》GB12348-2008</w:t>
            </w:r>
          </w:p>
        </w:tc>
        <w:tc>
          <w:tcPr>
            <w:tcW w:w="771" w:type="dxa"/>
            <w:vAlign w:val="center"/>
          </w:tcPr>
          <w:p w:rsidR="00981F47" w:rsidRDefault="00981F47">
            <w:pPr>
              <w:jc w:val="center"/>
              <w:rPr>
                <w:rFonts w:ascii="仿宋" w:eastAsia="仿宋" w:hAnsi="仿宋" w:cs="仿宋"/>
                <w:sz w:val="24"/>
              </w:rPr>
            </w:pPr>
          </w:p>
        </w:tc>
      </w:tr>
      <w:tr w:rsidR="00981F47">
        <w:tc>
          <w:tcPr>
            <w:tcW w:w="764"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废水</w:t>
            </w:r>
          </w:p>
        </w:tc>
        <w:tc>
          <w:tcPr>
            <w:tcW w:w="824" w:type="dxa"/>
            <w:vAlign w:val="center"/>
          </w:tcPr>
          <w:p w:rsidR="00981F47" w:rsidRDefault="00981F47">
            <w:pPr>
              <w:jc w:val="center"/>
              <w:rPr>
                <w:rFonts w:ascii="仿宋" w:eastAsia="仿宋" w:hAnsi="仿宋" w:cs="仿宋"/>
                <w:sz w:val="24"/>
              </w:rPr>
            </w:pPr>
          </w:p>
        </w:tc>
        <w:tc>
          <w:tcPr>
            <w:tcW w:w="717" w:type="dxa"/>
            <w:vAlign w:val="center"/>
          </w:tcPr>
          <w:p w:rsidR="00981F47" w:rsidRDefault="00981F47">
            <w:pPr>
              <w:jc w:val="center"/>
              <w:rPr>
                <w:rFonts w:ascii="仿宋" w:eastAsia="仿宋" w:hAnsi="仿宋" w:cs="仿宋"/>
                <w:sz w:val="24"/>
              </w:rPr>
            </w:pPr>
          </w:p>
        </w:tc>
        <w:tc>
          <w:tcPr>
            <w:tcW w:w="972" w:type="dxa"/>
            <w:vAlign w:val="center"/>
          </w:tcPr>
          <w:p w:rsidR="00981F47" w:rsidRDefault="00981F47">
            <w:pPr>
              <w:jc w:val="center"/>
              <w:rPr>
                <w:rFonts w:ascii="仿宋" w:eastAsia="仿宋" w:hAnsi="仿宋" w:cs="仿宋"/>
                <w:sz w:val="24"/>
              </w:rPr>
            </w:pPr>
          </w:p>
        </w:tc>
        <w:tc>
          <w:tcPr>
            <w:tcW w:w="1096"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沙门</w:t>
            </w:r>
          </w:p>
          <w:p w:rsidR="00981F47" w:rsidRDefault="00014F88">
            <w:pPr>
              <w:jc w:val="center"/>
              <w:rPr>
                <w:rFonts w:ascii="仿宋" w:eastAsia="仿宋" w:hAnsi="仿宋" w:cs="仿宋"/>
                <w:sz w:val="24"/>
              </w:rPr>
            </w:pPr>
            <w:r>
              <w:rPr>
                <w:rFonts w:ascii="仿宋" w:eastAsia="仿宋" w:hAnsi="仿宋" w:cs="仿宋" w:hint="eastAsia"/>
                <w:sz w:val="24"/>
              </w:rPr>
              <w:t>氏菌</w:t>
            </w:r>
          </w:p>
        </w:tc>
        <w:tc>
          <w:tcPr>
            <w:tcW w:w="708" w:type="dxa"/>
            <w:vAlign w:val="center"/>
          </w:tcPr>
          <w:p w:rsidR="00981F47" w:rsidRDefault="00981F47">
            <w:pPr>
              <w:jc w:val="center"/>
              <w:rPr>
                <w:rFonts w:ascii="仿宋" w:eastAsia="仿宋" w:hAnsi="仿宋" w:cs="仿宋"/>
                <w:sz w:val="24"/>
              </w:rPr>
            </w:pPr>
          </w:p>
        </w:tc>
        <w:tc>
          <w:tcPr>
            <w:tcW w:w="765" w:type="dxa"/>
            <w:vAlign w:val="center"/>
          </w:tcPr>
          <w:p w:rsidR="00981F47" w:rsidRDefault="00981F47">
            <w:pPr>
              <w:jc w:val="center"/>
              <w:rPr>
                <w:rFonts w:ascii="仿宋" w:eastAsia="仿宋" w:hAnsi="仿宋" w:cs="仿宋"/>
                <w:sz w:val="24"/>
              </w:rPr>
            </w:pPr>
          </w:p>
        </w:tc>
        <w:tc>
          <w:tcPr>
            <w:tcW w:w="951" w:type="dxa"/>
            <w:vAlign w:val="center"/>
          </w:tcPr>
          <w:p w:rsidR="00981F47" w:rsidRDefault="00981F47">
            <w:pPr>
              <w:jc w:val="center"/>
              <w:rPr>
                <w:rFonts w:ascii="仿宋" w:eastAsia="仿宋" w:hAnsi="仿宋" w:cs="仿宋"/>
                <w:sz w:val="24"/>
              </w:rPr>
            </w:pPr>
          </w:p>
        </w:tc>
        <w:tc>
          <w:tcPr>
            <w:tcW w:w="1195" w:type="dxa"/>
            <w:vAlign w:val="center"/>
          </w:tcPr>
          <w:p w:rsidR="00981F47" w:rsidRDefault="00981F47">
            <w:pPr>
              <w:jc w:val="center"/>
              <w:rPr>
                <w:rFonts w:ascii="仿宋" w:eastAsia="仿宋" w:hAnsi="仿宋" w:cs="仿宋"/>
                <w:sz w:val="24"/>
              </w:rPr>
            </w:pPr>
          </w:p>
        </w:tc>
        <w:tc>
          <w:tcPr>
            <w:tcW w:w="1725" w:type="dxa"/>
            <w:vAlign w:val="center"/>
          </w:tcPr>
          <w:p w:rsidR="00981F47" w:rsidRDefault="00981F47">
            <w:pPr>
              <w:jc w:val="center"/>
              <w:rPr>
                <w:rFonts w:ascii="仿宋" w:eastAsia="仿宋" w:hAnsi="仿宋" w:cs="仿宋"/>
                <w:sz w:val="24"/>
              </w:rPr>
            </w:pPr>
          </w:p>
        </w:tc>
        <w:tc>
          <w:tcPr>
            <w:tcW w:w="1265" w:type="dxa"/>
            <w:vAlign w:val="center"/>
          </w:tcPr>
          <w:p w:rsidR="00981F47" w:rsidRDefault="00981F47">
            <w:pPr>
              <w:jc w:val="center"/>
              <w:rPr>
                <w:rFonts w:ascii="仿宋" w:eastAsia="仿宋" w:hAnsi="仿宋" w:cs="仿宋"/>
                <w:sz w:val="24"/>
              </w:rPr>
            </w:pPr>
          </w:p>
        </w:tc>
        <w:tc>
          <w:tcPr>
            <w:tcW w:w="870" w:type="dxa"/>
            <w:vAlign w:val="center"/>
          </w:tcPr>
          <w:p w:rsidR="00981F47" w:rsidRDefault="00014F88">
            <w:pPr>
              <w:jc w:val="center"/>
              <w:rPr>
                <w:rFonts w:ascii="仿宋" w:eastAsia="仿宋" w:hAnsi="仿宋" w:cs="仿宋"/>
                <w:sz w:val="24"/>
              </w:rPr>
            </w:pPr>
            <w:r>
              <w:rPr>
                <w:rFonts w:ascii="仿宋" w:eastAsia="仿宋" w:hAnsi="仿宋" w:cs="仿宋" w:hint="eastAsia"/>
                <w:sz w:val="24"/>
              </w:rPr>
              <w:t>2次/年</w:t>
            </w:r>
          </w:p>
        </w:tc>
        <w:tc>
          <w:tcPr>
            <w:tcW w:w="2016" w:type="dxa"/>
            <w:vAlign w:val="center"/>
          </w:tcPr>
          <w:p w:rsidR="00981F47" w:rsidRDefault="00981F47">
            <w:pPr>
              <w:jc w:val="center"/>
              <w:rPr>
                <w:rFonts w:ascii="仿宋" w:eastAsia="仿宋" w:hAnsi="仿宋" w:cs="仿宋"/>
                <w:sz w:val="24"/>
              </w:rPr>
            </w:pPr>
          </w:p>
        </w:tc>
        <w:tc>
          <w:tcPr>
            <w:tcW w:w="771" w:type="dxa"/>
            <w:vAlign w:val="center"/>
          </w:tcPr>
          <w:p w:rsidR="00981F47" w:rsidRDefault="00981F47">
            <w:pPr>
              <w:jc w:val="center"/>
              <w:rPr>
                <w:rFonts w:ascii="仿宋" w:eastAsia="仿宋" w:hAnsi="仿宋" w:cs="仿宋"/>
                <w:sz w:val="24"/>
              </w:rPr>
            </w:pPr>
          </w:p>
        </w:tc>
      </w:tr>
      <w:tr w:rsidR="00981F47">
        <w:tc>
          <w:tcPr>
            <w:tcW w:w="14639" w:type="dxa"/>
            <w:gridSpan w:val="14"/>
            <w:vAlign w:val="center"/>
          </w:tcPr>
          <w:p w:rsidR="00981F47" w:rsidRDefault="00981F47">
            <w:pPr>
              <w:jc w:val="center"/>
              <w:rPr>
                <w:rFonts w:ascii="仿宋" w:eastAsia="仿宋" w:hAnsi="仿宋" w:cs="仿宋"/>
                <w:b/>
                <w:bCs/>
                <w:sz w:val="24"/>
              </w:rPr>
            </w:pPr>
          </w:p>
          <w:p w:rsidR="00981F47" w:rsidRDefault="00014F88">
            <w:pPr>
              <w:rPr>
                <w:rFonts w:ascii="仿宋" w:eastAsia="仿宋" w:hAnsi="仿宋" w:cs="仿宋"/>
                <w:b/>
                <w:bCs/>
                <w:sz w:val="24"/>
              </w:rPr>
            </w:pPr>
            <w:r>
              <w:rPr>
                <w:rFonts w:ascii="仿宋" w:eastAsia="仿宋" w:hAnsi="仿宋" w:cs="仿宋" w:hint="eastAsia"/>
                <w:b/>
                <w:bCs/>
                <w:sz w:val="24"/>
              </w:rPr>
              <w:t>备注：1#、2#，2台1t/h锅炉一主一备；3#、4#,2台8t/h锅炉一主一备。</w:t>
            </w:r>
          </w:p>
          <w:p w:rsidR="00981F47" w:rsidRDefault="00981F47">
            <w:pPr>
              <w:jc w:val="center"/>
              <w:rPr>
                <w:rFonts w:ascii="仿宋" w:eastAsia="仿宋" w:hAnsi="仿宋" w:cs="仿宋"/>
                <w:sz w:val="24"/>
              </w:rPr>
            </w:pPr>
          </w:p>
        </w:tc>
      </w:tr>
    </w:tbl>
    <w:p w:rsidR="00981F47" w:rsidRDefault="00981F47">
      <w:pPr>
        <w:rPr>
          <w:rFonts w:ascii="仿宋" w:eastAsia="仿宋" w:hAnsi="仿宋" w:cs="仿宋"/>
          <w:bCs/>
          <w:sz w:val="28"/>
          <w:szCs w:val="28"/>
        </w:rPr>
      </w:pPr>
    </w:p>
    <w:p w:rsidR="00981F47" w:rsidRDefault="00014F88">
      <w:pPr>
        <w:pStyle w:val="a6"/>
        <w:adjustRightInd w:val="0"/>
        <w:snapToGrid w:val="0"/>
        <w:spacing w:line="540" w:lineRule="exact"/>
        <w:jc w:val="left"/>
        <w:rPr>
          <w:rFonts w:ascii="仿宋" w:eastAsia="仿宋" w:hAnsi="仿宋" w:cs="仿宋"/>
          <w:b/>
          <w:sz w:val="28"/>
          <w:szCs w:val="28"/>
        </w:rPr>
        <w:sectPr w:rsidR="00981F47">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981F47" w:rsidRDefault="00014F88">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981F47" w:rsidRDefault="00014F88">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981F47" w:rsidRDefault="00014F88">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981F47" w:rsidRDefault="00014F88">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981F47" w:rsidRDefault="00014F88">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981F47" w:rsidRDefault="00981F47">
      <w:pPr>
        <w:ind w:firstLineChars="200"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014F8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二、授权委托书</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981F47" w:rsidRDefault="00981F47">
      <w:pPr>
        <w:ind w:firstLineChars="200" w:firstLine="600"/>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981F47" w:rsidRDefault="00981F47">
      <w:pPr>
        <w:ind w:firstLineChars="200" w:firstLine="600"/>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981F47">
      <w:pPr>
        <w:pStyle w:val="2"/>
        <w:ind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014F8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981F47" w:rsidRDefault="00981F47">
      <w:pPr>
        <w:jc w:val="left"/>
        <w:rPr>
          <w:rFonts w:ascii="仿宋" w:eastAsia="仿宋" w:hAnsi="仿宋" w:cs="仿宋"/>
          <w:sz w:val="30"/>
          <w:szCs w:val="30"/>
        </w:rPr>
      </w:pPr>
    </w:p>
    <w:p w:rsidR="00981F47" w:rsidRDefault="00014F88">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981F47" w:rsidRDefault="00014F88">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981F47" w:rsidRDefault="00014F88">
      <w:pPr>
        <w:rPr>
          <w:rFonts w:ascii="仿宋" w:eastAsia="仿宋" w:hAnsi="仿宋" w:cs="仿宋"/>
          <w:sz w:val="30"/>
          <w:szCs w:val="30"/>
          <w:u w:val="single"/>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w:t>
      </w:r>
      <w:r>
        <w:rPr>
          <w:rFonts w:ascii="仿宋" w:eastAsia="仿宋" w:hAnsi="仿宋" w:cs="仿宋" w:hint="eastAsia"/>
          <w:sz w:val="30"/>
          <w:szCs w:val="30"/>
          <w:u w:val="single"/>
        </w:rPr>
        <w:t>桐城市人民医院排污许可证自行监测及证后管理服务采购项目；</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014F88">
      <w:pPr>
        <w:jc w:val="center"/>
        <w:rPr>
          <w:rFonts w:ascii="仿宋" w:eastAsia="仿宋" w:hAnsi="仿宋" w:cs="仿宋"/>
          <w:sz w:val="30"/>
          <w:szCs w:val="30"/>
        </w:rPr>
      </w:pPr>
      <w:r>
        <w:rPr>
          <w:rFonts w:ascii="仿宋" w:eastAsia="仿宋" w:hAnsi="仿宋" w:cs="仿宋" w:hint="eastAsia"/>
          <w:sz w:val="30"/>
          <w:szCs w:val="30"/>
        </w:rPr>
        <w:t>单位名称：</w:t>
      </w:r>
    </w:p>
    <w:p w:rsidR="00981F47" w:rsidRDefault="00014F88">
      <w:pPr>
        <w:jc w:val="center"/>
        <w:rPr>
          <w:rFonts w:ascii="仿宋" w:eastAsia="仿宋" w:hAnsi="仿宋" w:cs="仿宋"/>
          <w:sz w:val="30"/>
          <w:szCs w:val="30"/>
        </w:rPr>
      </w:pPr>
      <w:r>
        <w:rPr>
          <w:rFonts w:ascii="仿宋" w:eastAsia="仿宋" w:hAnsi="仿宋" w:cs="仿宋" w:hint="eastAsia"/>
          <w:sz w:val="30"/>
          <w:szCs w:val="30"/>
        </w:rPr>
        <w:t xml:space="preserve">  2025年  月  日</w:t>
      </w:r>
    </w:p>
    <w:p w:rsidR="00981F47" w:rsidRDefault="00981F47">
      <w:pPr>
        <w:jc w:val="center"/>
        <w:rPr>
          <w:rFonts w:ascii="仿宋" w:eastAsia="仿宋" w:hAnsi="仿宋" w:cs="仿宋"/>
          <w:sz w:val="30"/>
          <w:szCs w:val="30"/>
        </w:rPr>
      </w:pPr>
    </w:p>
    <w:p w:rsidR="00981F47" w:rsidRDefault="00981F47">
      <w:pPr>
        <w:jc w:val="center"/>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981F47" w:rsidRDefault="00981F47">
      <w:pPr>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981F47" w:rsidRDefault="00981F47">
      <w:pPr>
        <w:rPr>
          <w:rFonts w:ascii="仿宋" w:eastAsia="仿宋" w:hAnsi="仿宋" w:cs="仿宋"/>
          <w:sz w:val="30"/>
          <w:szCs w:val="30"/>
        </w:rPr>
      </w:pP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981F47" w:rsidRDefault="00014F88">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981F47" w:rsidRDefault="00981F47">
      <w:pPr>
        <w:ind w:firstLineChars="200" w:firstLine="600"/>
        <w:rPr>
          <w:rFonts w:ascii="仿宋" w:eastAsia="仿宋" w:hAnsi="仿宋" w:cs="仿宋"/>
          <w:sz w:val="30"/>
          <w:szCs w:val="30"/>
        </w:rPr>
      </w:pPr>
    </w:p>
    <w:p w:rsidR="00981F47" w:rsidRDefault="00981F47">
      <w:pPr>
        <w:ind w:firstLineChars="200" w:firstLine="600"/>
        <w:rPr>
          <w:rFonts w:ascii="仿宋" w:eastAsia="仿宋" w:hAnsi="仿宋" w:cs="仿宋"/>
          <w:sz w:val="30"/>
          <w:szCs w:val="30"/>
        </w:rPr>
      </w:pPr>
    </w:p>
    <w:p w:rsidR="00981F47" w:rsidRDefault="00014F88">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981F47" w:rsidRDefault="00014F88">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981F47" w:rsidRDefault="00014F88">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981F47" w:rsidRDefault="00981F47">
      <w:pPr>
        <w:rPr>
          <w:rFonts w:ascii="仿宋" w:eastAsia="仿宋" w:hAnsi="仿宋" w:cs="仿宋"/>
          <w:sz w:val="30"/>
          <w:szCs w:val="30"/>
        </w:rPr>
      </w:pPr>
    </w:p>
    <w:p w:rsidR="00981F47" w:rsidRDefault="00981F47">
      <w:pPr>
        <w:rPr>
          <w:rFonts w:ascii="仿宋" w:eastAsia="仿宋" w:hAnsi="仿宋" w:cs="仿宋"/>
          <w:sz w:val="30"/>
          <w:szCs w:val="30"/>
        </w:rPr>
      </w:pPr>
    </w:p>
    <w:p w:rsidR="00981F47" w:rsidRDefault="00981F47">
      <w:pPr>
        <w:pStyle w:val="aa"/>
        <w:ind w:firstLineChars="0" w:firstLine="0"/>
        <w:rPr>
          <w:rFonts w:ascii="仿宋" w:eastAsia="仿宋" w:hAnsi="仿宋" w:cs="仿宋"/>
          <w:sz w:val="30"/>
          <w:szCs w:val="30"/>
        </w:rPr>
      </w:pPr>
    </w:p>
    <w:sectPr w:rsidR="00981F47" w:rsidSect="00981F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0B" w:rsidRDefault="0019290B" w:rsidP="006C04DD">
      <w:r>
        <w:separator/>
      </w:r>
    </w:p>
  </w:endnote>
  <w:endnote w:type="continuationSeparator" w:id="0">
    <w:p w:rsidR="0019290B" w:rsidRDefault="0019290B" w:rsidP="006C0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0B" w:rsidRDefault="0019290B" w:rsidP="006C04DD">
      <w:r>
        <w:separator/>
      </w:r>
    </w:p>
  </w:footnote>
  <w:footnote w:type="continuationSeparator" w:id="0">
    <w:p w:rsidR="0019290B" w:rsidRDefault="0019290B" w:rsidP="006C0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6C384E4B"/>
    <w:rsid w:val="00014F88"/>
    <w:rsid w:val="001315D9"/>
    <w:rsid w:val="0019290B"/>
    <w:rsid w:val="00296245"/>
    <w:rsid w:val="006437E9"/>
    <w:rsid w:val="00646E32"/>
    <w:rsid w:val="006C04DD"/>
    <w:rsid w:val="007C50F9"/>
    <w:rsid w:val="008F1BCC"/>
    <w:rsid w:val="00900544"/>
    <w:rsid w:val="0098121C"/>
    <w:rsid w:val="00981F47"/>
    <w:rsid w:val="00B53791"/>
    <w:rsid w:val="00C346DB"/>
    <w:rsid w:val="00F654FA"/>
    <w:rsid w:val="00FB40E5"/>
    <w:rsid w:val="03237D9B"/>
    <w:rsid w:val="042A0CA0"/>
    <w:rsid w:val="05656433"/>
    <w:rsid w:val="070E6657"/>
    <w:rsid w:val="07844D18"/>
    <w:rsid w:val="07C75B88"/>
    <w:rsid w:val="0C8F3D96"/>
    <w:rsid w:val="11E3705D"/>
    <w:rsid w:val="14FF00F8"/>
    <w:rsid w:val="17052A32"/>
    <w:rsid w:val="182B52BA"/>
    <w:rsid w:val="18AC4909"/>
    <w:rsid w:val="1A6F1B2A"/>
    <w:rsid w:val="1A953F46"/>
    <w:rsid w:val="1D0E21DE"/>
    <w:rsid w:val="1DC05ADB"/>
    <w:rsid w:val="1E74103D"/>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7D7F0E"/>
    <w:rsid w:val="2DFB52D7"/>
    <w:rsid w:val="2E22693F"/>
    <w:rsid w:val="32D3412D"/>
    <w:rsid w:val="33681108"/>
    <w:rsid w:val="34B41D3C"/>
    <w:rsid w:val="35B93AAE"/>
    <w:rsid w:val="374F7669"/>
    <w:rsid w:val="39870BD6"/>
    <w:rsid w:val="3C3E6B14"/>
    <w:rsid w:val="3E183853"/>
    <w:rsid w:val="400800F7"/>
    <w:rsid w:val="4131690E"/>
    <w:rsid w:val="439648D1"/>
    <w:rsid w:val="446C5429"/>
    <w:rsid w:val="44B813D4"/>
    <w:rsid w:val="458C0352"/>
    <w:rsid w:val="465869CB"/>
    <w:rsid w:val="472829CB"/>
    <w:rsid w:val="49A15CD2"/>
    <w:rsid w:val="4AAE12AF"/>
    <w:rsid w:val="4C054E48"/>
    <w:rsid w:val="4C286301"/>
    <w:rsid w:val="4F8E7901"/>
    <w:rsid w:val="511B3417"/>
    <w:rsid w:val="53591FD4"/>
    <w:rsid w:val="53BC2C8F"/>
    <w:rsid w:val="54703817"/>
    <w:rsid w:val="54AB1879"/>
    <w:rsid w:val="54AB79EA"/>
    <w:rsid w:val="54D47B64"/>
    <w:rsid w:val="59262446"/>
    <w:rsid w:val="5A464FC7"/>
    <w:rsid w:val="5A89319F"/>
    <w:rsid w:val="5C9E2B6C"/>
    <w:rsid w:val="5D1F3C79"/>
    <w:rsid w:val="5F2D1A62"/>
    <w:rsid w:val="61F25ACE"/>
    <w:rsid w:val="634C2B4E"/>
    <w:rsid w:val="63660521"/>
    <w:rsid w:val="662B51DE"/>
    <w:rsid w:val="66AB4FB0"/>
    <w:rsid w:val="66D71736"/>
    <w:rsid w:val="67B44068"/>
    <w:rsid w:val="6874746B"/>
    <w:rsid w:val="69CF3DB8"/>
    <w:rsid w:val="6A831F0A"/>
    <w:rsid w:val="6C384E4B"/>
    <w:rsid w:val="6E396833"/>
    <w:rsid w:val="6E6054CF"/>
    <w:rsid w:val="7007308C"/>
    <w:rsid w:val="708D563B"/>
    <w:rsid w:val="70F03B20"/>
    <w:rsid w:val="71F80EDE"/>
    <w:rsid w:val="727D3192"/>
    <w:rsid w:val="72C62739"/>
    <w:rsid w:val="74510D7A"/>
    <w:rsid w:val="74824C1D"/>
    <w:rsid w:val="756A2345"/>
    <w:rsid w:val="757640F9"/>
    <w:rsid w:val="75FE0A8D"/>
    <w:rsid w:val="781A1483"/>
    <w:rsid w:val="7A2C0AE0"/>
    <w:rsid w:val="7BFC5A6F"/>
    <w:rsid w:val="7C1C1C6D"/>
    <w:rsid w:val="7DD50326"/>
    <w:rsid w:val="7E6944BB"/>
    <w:rsid w:val="7E786F03"/>
    <w:rsid w:val="7F0D1EED"/>
    <w:rsid w:val="7FAE0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81F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981F47"/>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981F47"/>
    <w:pPr>
      <w:spacing w:after="120"/>
      <w:ind w:leftChars="200" w:left="420"/>
    </w:pPr>
    <w:rPr>
      <w:szCs w:val="22"/>
      <w:lang w:val="zh-CN"/>
    </w:rPr>
  </w:style>
  <w:style w:type="paragraph" w:styleId="a5">
    <w:name w:val="envelope return"/>
    <w:basedOn w:val="a"/>
    <w:autoRedefine/>
    <w:qFormat/>
    <w:rsid w:val="00981F47"/>
    <w:pPr>
      <w:snapToGrid w:val="0"/>
    </w:pPr>
    <w:rPr>
      <w:rFonts w:ascii="Arial" w:hAnsi="Arial"/>
    </w:rPr>
  </w:style>
  <w:style w:type="paragraph" w:styleId="a6">
    <w:name w:val="Plain Text"/>
    <w:basedOn w:val="a"/>
    <w:autoRedefine/>
    <w:qFormat/>
    <w:rsid w:val="00981F47"/>
    <w:rPr>
      <w:rFonts w:ascii="宋体" w:hAnsi="Courier New" w:cs="Courier New"/>
      <w:szCs w:val="21"/>
    </w:rPr>
  </w:style>
  <w:style w:type="paragraph" w:styleId="a7">
    <w:name w:val="Balloon Text"/>
    <w:basedOn w:val="a"/>
    <w:link w:val="Char"/>
    <w:autoRedefine/>
    <w:qFormat/>
    <w:rsid w:val="00981F47"/>
    <w:rPr>
      <w:sz w:val="18"/>
      <w:szCs w:val="18"/>
    </w:rPr>
  </w:style>
  <w:style w:type="paragraph" w:styleId="a8">
    <w:name w:val="footer"/>
    <w:basedOn w:val="a"/>
    <w:link w:val="Char0"/>
    <w:autoRedefine/>
    <w:qFormat/>
    <w:rsid w:val="00981F47"/>
    <w:pPr>
      <w:tabs>
        <w:tab w:val="center" w:pos="4153"/>
        <w:tab w:val="right" w:pos="8306"/>
      </w:tabs>
      <w:snapToGrid w:val="0"/>
      <w:jc w:val="left"/>
    </w:pPr>
    <w:rPr>
      <w:sz w:val="18"/>
      <w:szCs w:val="18"/>
    </w:rPr>
  </w:style>
  <w:style w:type="paragraph" w:styleId="a9">
    <w:name w:val="header"/>
    <w:basedOn w:val="a"/>
    <w:link w:val="Char1"/>
    <w:autoRedefine/>
    <w:qFormat/>
    <w:rsid w:val="00981F47"/>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981F47"/>
    <w:pPr>
      <w:ind w:firstLineChars="100" w:firstLine="420"/>
    </w:pPr>
  </w:style>
  <w:style w:type="paragraph" w:styleId="2">
    <w:name w:val="Body Text First Indent 2"/>
    <w:basedOn w:val="a4"/>
    <w:autoRedefine/>
    <w:uiPriority w:val="99"/>
    <w:unhideWhenUsed/>
    <w:qFormat/>
    <w:rsid w:val="00981F47"/>
    <w:pPr>
      <w:ind w:firstLineChars="200" w:firstLine="420"/>
    </w:pPr>
  </w:style>
  <w:style w:type="table" w:styleId="ab">
    <w:name w:val="Table Grid"/>
    <w:basedOn w:val="a1"/>
    <w:autoRedefine/>
    <w:qFormat/>
    <w:rsid w:val="00981F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981F47"/>
    <w:rPr>
      <w:rFonts w:ascii="宋体" w:eastAsia="宋体" w:hAnsi="宋体" w:cs="宋体"/>
      <w:lang w:val="zh-CN" w:bidi="zh-CN"/>
    </w:rPr>
  </w:style>
  <w:style w:type="table" w:customStyle="1" w:styleId="TableNormal">
    <w:name w:val="Table Normal"/>
    <w:autoRedefine/>
    <w:semiHidden/>
    <w:unhideWhenUsed/>
    <w:qFormat/>
    <w:rsid w:val="00981F47"/>
    <w:tblPr>
      <w:tblCellMar>
        <w:top w:w="0" w:type="dxa"/>
        <w:left w:w="0" w:type="dxa"/>
        <w:bottom w:w="0" w:type="dxa"/>
        <w:right w:w="0" w:type="dxa"/>
      </w:tblCellMar>
    </w:tblPr>
  </w:style>
  <w:style w:type="paragraph" w:customStyle="1" w:styleId="TableText">
    <w:name w:val="Table Text"/>
    <w:basedOn w:val="a"/>
    <w:autoRedefine/>
    <w:semiHidden/>
    <w:qFormat/>
    <w:rsid w:val="00981F47"/>
    <w:rPr>
      <w:rFonts w:ascii="Arial" w:eastAsia="Arial" w:hAnsi="Arial" w:cs="Arial"/>
      <w:szCs w:val="21"/>
      <w:lang w:eastAsia="en-US"/>
    </w:rPr>
  </w:style>
  <w:style w:type="character" w:customStyle="1" w:styleId="Char1">
    <w:name w:val="页眉 Char"/>
    <w:basedOn w:val="a0"/>
    <w:link w:val="a9"/>
    <w:autoRedefine/>
    <w:qFormat/>
    <w:rsid w:val="00981F47"/>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981F47"/>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981F4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14</Pages>
  <Words>830</Words>
  <Characters>4734</Characters>
  <Application>Microsoft Office Word</Application>
  <DocSecurity>0</DocSecurity>
  <Lines>39</Lines>
  <Paragraphs>11</Paragraphs>
  <ScaleCrop>false</ScaleCrop>
  <Company>Microsoft</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8</cp:revision>
  <cp:lastPrinted>2025-07-01T05:56:00Z</cp:lastPrinted>
  <dcterms:created xsi:type="dcterms:W3CDTF">2024-02-26T01:05:00Z</dcterms:created>
  <dcterms:modified xsi:type="dcterms:W3CDTF">2025-07-01T07:06:00Z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52961D27493F44CE9670082222D00AD4_13</vt:lpwstr>
  </property>
  <property fmtid="{D5CDD505-2E9C-101B-9397-08002B2CF9AE}" pid="4" name="KSOTemplateDocerSaveRecord">
    <vt:lpwstr>eyJoZGlkIjoiNDJlMGNlYjhiZTQzYThiMjFmODQyYzhlNzMyMDBiNmIifQ==</vt:lpwstr>
  </property>
</Properties>
</file>