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06" w:firstLineChars="1136"/>
        <w:rPr>
          <w:rFonts w:ascii="黑体" w:hAnsi="黑体" w:eastAsia="黑体"/>
          <w:b/>
          <w:sz w:val="36"/>
          <w:szCs w:val="36"/>
        </w:rPr>
      </w:pPr>
      <w:r>
        <w:rPr>
          <w:rFonts w:hint="eastAsia" w:ascii="黑体" w:hAnsi="黑体" w:eastAsia="黑体"/>
          <w:b/>
          <w:sz w:val="36"/>
          <w:szCs w:val="36"/>
          <w:u w:val="single"/>
        </w:rPr>
        <w:t>手术交换车</w:t>
      </w:r>
      <w:r>
        <w:rPr>
          <w:rFonts w:hint="eastAsia" w:ascii="黑体" w:hAnsi="黑体" w:eastAsia="黑体"/>
          <w:b/>
          <w:spacing w:val="-20"/>
          <w:sz w:val="36"/>
          <w:szCs w:val="36"/>
        </w:rPr>
        <w:t>公开</w:t>
      </w:r>
      <w:r>
        <w:rPr>
          <w:rFonts w:hint="eastAsia" w:ascii="黑体" w:hAnsi="黑体" w:eastAsia="黑体"/>
          <w:b/>
          <w:sz w:val="36"/>
          <w:szCs w:val="36"/>
        </w:rPr>
        <w:t>询价采购报价表</w:t>
      </w:r>
    </w:p>
    <w:p>
      <w:pPr>
        <w:spacing w:line="800" w:lineRule="exact"/>
        <w:rPr>
          <w:b/>
          <w:sz w:val="32"/>
          <w:szCs w:val="32"/>
        </w:rPr>
      </w:pPr>
      <w:r>
        <w:rPr>
          <w:rFonts w:hint="eastAsia"/>
          <w:b/>
          <w:sz w:val="32"/>
          <w:szCs w:val="32"/>
        </w:rPr>
        <w:t>报价单位：（盖章）                                                  年     月     日</w:t>
      </w:r>
    </w:p>
    <w:p>
      <w:pPr>
        <w:spacing w:line="200" w:lineRule="exact"/>
        <w:ind w:firstLine="1108" w:firstLineChars="345"/>
        <w:rPr>
          <w:b/>
          <w:sz w:val="32"/>
          <w:szCs w:val="32"/>
        </w:rPr>
      </w:pPr>
    </w:p>
    <w:tbl>
      <w:tblPr>
        <w:tblStyle w:val="8"/>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570"/>
        <w:gridCol w:w="1519"/>
        <w:gridCol w:w="1530"/>
        <w:gridCol w:w="2505"/>
        <w:gridCol w:w="1965"/>
        <w:gridCol w:w="221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76"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名  称</w:t>
            </w:r>
          </w:p>
        </w:tc>
        <w:tc>
          <w:tcPr>
            <w:tcW w:w="539" w:type="pc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产  地</w:t>
            </w:r>
          </w:p>
        </w:tc>
        <w:tc>
          <w:tcPr>
            <w:tcW w:w="543" w:type="pct"/>
            <w:tcBorders>
              <w:top w:val="single" w:color="auto" w:sz="4" w:space="0"/>
              <w:left w:val="single" w:color="auto" w:sz="4" w:space="0"/>
              <w:bottom w:val="single" w:color="auto" w:sz="4" w:space="0"/>
              <w:right w:val="single" w:color="auto" w:sz="4" w:space="0"/>
            </w:tcBorders>
            <w:vAlign w:val="center"/>
          </w:tcPr>
          <w:p>
            <w:pPr>
              <w:pStyle w:val="16"/>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规格型号</w:t>
            </w:r>
          </w:p>
        </w:tc>
        <w:tc>
          <w:tcPr>
            <w:tcW w:w="889" w:type="pct"/>
            <w:tcBorders>
              <w:top w:val="single" w:color="auto" w:sz="4" w:space="0"/>
              <w:left w:val="single" w:color="auto" w:sz="4" w:space="0"/>
              <w:bottom w:val="single" w:color="auto" w:sz="4" w:space="0"/>
              <w:right w:val="single" w:color="auto" w:sz="4" w:space="0"/>
            </w:tcBorders>
            <w:vAlign w:val="center"/>
          </w:tcPr>
          <w:p>
            <w:pPr>
              <w:pStyle w:val="16"/>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采购数量（张）</w:t>
            </w:r>
          </w:p>
        </w:tc>
        <w:tc>
          <w:tcPr>
            <w:tcW w:w="697" w:type="pct"/>
            <w:tcBorders>
              <w:top w:val="single" w:color="auto" w:sz="4" w:space="0"/>
              <w:left w:val="single" w:color="auto" w:sz="4" w:space="0"/>
              <w:bottom w:val="single" w:color="auto" w:sz="4" w:space="0"/>
              <w:right w:val="single" w:color="auto" w:sz="4" w:space="0"/>
            </w:tcBorders>
          </w:tcPr>
          <w:p>
            <w:pPr>
              <w:pStyle w:val="16"/>
              <w:jc w:val="center"/>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val="en-US" w:eastAsia="zh-CN"/>
              </w:rPr>
              <w:t>最高限价</w:t>
            </w: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val="en-US" w:eastAsia="zh-CN"/>
              </w:rPr>
              <w:t>万</w:t>
            </w:r>
          </w:p>
        </w:tc>
        <w:tc>
          <w:tcPr>
            <w:tcW w:w="787" w:type="pc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单价（元/</w:t>
            </w:r>
            <w:r>
              <w:rPr>
                <w:rFonts w:hint="eastAsia" w:asciiTheme="minorEastAsia" w:hAnsiTheme="minorEastAsia" w:eastAsiaTheme="minorEastAsia"/>
                <w:sz w:val="30"/>
                <w:szCs w:val="30"/>
              </w:rPr>
              <w:t>张</w:t>
            </w:r>
            <w:r>
              <w:rPr>
                <w:rFonts w:hint="eastAsia" w:asciiTheme="minorEastAsia" w:hAnsiTheme="minorEastAsia" w:eastAsiaTheme="minorEastAsia"/>
                <w:sz w:val="30"/>
                <w:szCs w:val="30"/>
                <w:lang w:val="en-US" w:eastAsia="zh-CN"/>
              </w:rPr>
              <w:t>）</w:t>
            </w:r>
          </w:p>
        </w:tc>
        <w:tc>
          <w:tcPr>
            <w:tcW w:w="665" w:type="pct"/>
            <w:tcBorders>
              <w:top w:val="single" w:color="auto" w:sz="4" w:space="0"/>
              <w:left w:val="single" w:color="auto" w:sz="4" w:space="0"/>
              <w:bottom w:val="single" w:color="auto" w:sz="4" w:space="0"/>
              <w:right w:val="single" w:color="auto" w:sz="4" w:space="0"/>
            </w:tcBorders>
            <w:vAlign w:val="center"/>
          </w:tcPr>
          <w:p>
            <w:pPr>
              <w:pStyle w:val="16"/>
              <w:jc w:val="center"/>
              <w:rPr>
                <w:rFonts w:asciiTheme="minorEastAsia" w:hAnsiTheme="minorEastAsia" w:eastAsiaTheme="minorEastAsia"/>
                <w:sz w:val="30"/>
                <w:szCs w:val="30"/>
              </w:rPr>
            </w:pPr>
            <w:r>
              <w:rPr>
                <w:rFonts w:asciiTheme="minorEastAsia" w:hAnsiTheme="minorEastAsia" w:eastAsiaTheme="minorEastAsia"/>
                <w:sz w:val="30"/>
                <w:szCs w:val="30"/>
              </w:rPr>
              <w:t>报价</w:t>
            </w:r>
            <w:r>
              <w:rPr>
                <w:rFonts w:hint="eastAsia" w:asciiTheme="minorEastAsia" w:hAnsiTheme="minorEastAsia" w:eastAsiaTheme="minorEastAsia"/>
                <w:sz w:val="30"/>
                <w:szCs w:val="3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76" w:type="pct"/>
            <w:gridSpan w:val="2"/>
            <w:tcBorders>
              <w:top w:val="single" w:color="auto" w:sz="4" w:space="0"/>
              <w:left w:val="single" w:color="auto" w:sz="4" w:space="0"/>
              <w:right w:val="single" w:color="auto" w:sz="4" w:space="0"/>
            </w:tcBorders>
            <w:vAlign w:val="center"/>
          </w:tcPr>
          <w:p>
            <w:pPr>
              <w:jc w:val="center"/>
              <w:rPr>
                <w:sz w:val="32"/>
                <w:szCs w:val="32"/>
              </w:rPr>
            </w:pPr>
            <w:r>
              <w:rPr>
                <w:rFonts w:hint="eastAsia"/>
                <w:sz w:val="32"/>
                <w:szCs w:val="32"/>
              </w:rPr>
              <w:t>手术交换车</w:t>
            </w:r>
          </w:p>
        </w:tc>
        <w:tc>
          <w:tcPr>
            <w:tcW w:w="539" w:type="pct"/>
            <w:tcBorders>
              <w:top w:val="single" w:color="auto" w:sz="4" w:space="0"/>
              <w:left w:val="single" w:color="auto" w:sz="4" w:space="0"/>
              <w:right w:val="single" w:color="auto" w:sz="4" w:space="0"/>
            </w:tcBorders>
            <w:vAlign w:val="center"/>
          </w:tcPr>
          <w:p>
            <w:pPr>
              <w:jc w:val="center"/>
              <w:rPr>
                <w:rFonts w:hint="default" w:eastAsia="宋体"/>
                <w:sz w:val="32"/>
                <w:szCs w:val="32"/>
                <w:lang w:val="en-US" w:eastAsia="zh-CN"/>
              </w:rPr>
            </w:pPr>
            <w:r>
              <w:rPr>
                <w:rFonts w:hint="eastAsia"/>
                <w:sz w:val="32"/>
                <w:szCs w:val="32"/>
                <w:lang w:val="en-US" w:eastAsia="zh-CN"/>
              </w:rPr>
              <w:t>国产</w:t>
            </w:r>
          </w:p>
        </w:tc>
        <w:tc>
          <w:tcPr>
            <w:tcW w:w="543" w:type="pc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32"/>
                <w:szCs w:val="32"/>
              </w:rPr>
            </w:pPr>
          </w:p>
        </w:tc>
        <w:tc>
          <w:tcPr>
            <w:tcW w:w="889" w:type="pct"/>
            <w:tcBorders>
              <w:top w:val="single" w:color="auto" w:sz="4" w:space="0"/>
              <w:left w:val="single" w:color="auto" w:sz="4" w:space="0"/>
              <w:right w:val="single" w:color="auto" w:sz="4" w:space="0"/>
            </w:tcBorders>
            <w:vAlign w:val="center"/>
          </w:tcPr>
          <w:p>
            <w:pPr>
              <w:jc w:val="center"/>
              <w:rPr>
                <w:rFonts w:hint="eastAsia" w:eastAsia="宋体"/>
                <w:sz w:val="30"/>
                <w:szCs w:val="30"/>
                <w:lang w:eastAsia="zh-CN"/>
              </w:rPr>
            </w:pPr>
            <w:r>
              <w:rPr>
                <w:rFonts w:hint="eastAsia"/>
                <w:sz w:val="30"/>
                <w:szCs w:val="30"/>
                <w:lang w:val="en-US" w:eastAsia="zh-CN"/>
              </w:rPr>
              <w:t>玖</w:t>
            </w:r>
          </w:p>
        </w:tc>
        <w:tc>
          <w:tcPr>
            <w:tcW w:w="697" w:type="pct"/>
            <w:tcBorders>
              <w:top w:val="single" w:color="auto" w:sz="4" w:space="0"/>
              <w:left w:val="single" w:color="auto" w:sz="4" w:space="0"/>
              <w:right w:val="single" w:color="auto" w:sz="4" w:space="0"/>
            </w:tcBorders>
          </w:tcPr>
          <w:p>
            <w:pPr>
              <w:jc w:val="center"/>
              <w:rPr>
                <w:rFonts w:hint="default" w:eastAsia="宋体"/>
                <w:sz w:val="32"/>
                <w:szCs w:val="32"/>
                <w:lang w:val="en-US" w:eastAsia="zh-CN"/>
              </w:rPr>
            </w:pPr>
          </w:p>
          <w:p>
            <w:pPr>
              <w:jc w:val="center"/>
              <w:rPr>
                <w:rFonts w:hint="default" w:eastAsia="宋体"/>
                <w:sz w:val="32"/>
                <w:szCs w:val="32"/>
                <w:lang w:val="en-US" w:eastAsia="zh-CN"/>
              </w:rPr>
            </w:pPr>
          </w:p>
          <w:p>
            <w:pPr>
              <w:jc w:val="both"/>
              <w:rPr>
                <w:rFonts w:hint="default" w:eastAsia="宋体"/>
                <w:sz w:val="32"/>
                <w:szCs w:val="32"/>
                <w:lang w:val="en-US" w:eastAsia="zh-CN"/>
              </w:rPr>
            </w:pPr>
            <w:r>
              <w:rPr>
                <w:rFonts w:hint="eastAsia"/>
                <w:sz w:val="32"/>
                <w:szCs w:val="32"/>
                <w:lang w:val="en-US" w:eastAsia="zh-CN"/>
              </w:rPr>
              <w:t xml:space="preserve">     15</w:t>
            </w:r>
          </w:p>
        </w:tc>
        <w:tc>
          <w:tcPr>
            <w:tcW w:w="787" w:type="pct"/>
            <w:tcBorders>
              <w:top w:val="single" w:color="auto" w:sz="4" w:space="0"/>
              <w:left w:val="single" w:color="auto" w:sz="4" w:space="0"/>
              <w:right w:val="single" w:color="auto" w:sz="4" w:space="0"/>
            </w:tcBorders>
            <w:vAlign w:val="center"/>
          </w:tcPr>
          <w:p>
            <w:pPr>
              <w:jc w:val="both"/>
              <w:rPr>
                <w:rFonts w:hint="eastAsia"/>
                <w:sz w:val="32"/>
                <w:szCs w:val="32"/>
                <w:lang w:val="en-US" w:eastAsia="zh-CN"/>
              </w:rPr>
            </w:pPr>
          </w:p>
        </w:tc>
        <w:tc>
          <w:tcPr>
            <w:tcW w:w="665" w:type="pct"/>
            <w:tcBorders>
              <w:top w:val="single" w:color="auto" w:sz="4" w:space="0"/>
              <w:left w:val="single" w:color="auto" w:sz="4" w:space="0"/>
              <w:right w:val="single" w:color="auto" w:sz="4" w:space="0"/>
            </w:tcBorders>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674"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备  注</w:t>
            </w:r>
          </w:p>
        </w:tc>
        <w:tc>
          <w:tcPr>
            <w:tcW w:w="4325" w:type="pct"/>
            <w:gridSpan w:val="7"/>
            <w:tcBorders>
              <w:top w:val="single" w:color="auto" w:sz="4" w:space="0"/>
              <w:left w:val="single" w:color="auto" w:sz="4" w:space="0"/>
              <w:bottom w:val="single" w:color="auto" w:sz="4" w:space="0"/>
              <w:right w:val="single" w:color="auto" w:sz="4" w:space="0"/>
            </w:tcBorders>
          </w:tcPr>
          <w:p>
            <w:pPr>
              <w:spacing w:line="400" w:lineRule="exact"/>
              <w:rPr>
                <w:b/>
                <w:sz w:val="28"/>
                <w:szCs w:val="28"/>
              </w:rPr>
            </w:pPr>
            <w:r>
              <w:rPr>
                <w:b/>
                <w:sz w:val="28"/>
                <w:szCs w:val="28"/>
              </w:rPr>
              <w:t>1.报价公司必须具备该产品经营资质，并提供相应证照;</w:t>
            </w:r>
          </w:p>
          <w:p>
            <w:pPr>
              <w:spacing w:line="400" w:lineRule="exact"/>
              <w:rPr>
                <w:b/>
                <w:sz w:val="28"/>
                <w:szCs w:val="28"/>
              </w:rPr>
            </w:pPr>
            <w:r>
              <w:rPr>
                <w:b/>
                <w:sz w:val="28"/>
                <w:szCs w:val="28"/>
              </w:rPr>
              <w:t>2.所报产品必须满足附件参数要求，否则视为废标;</w:t>
            </w:r>
          </w:p>
          <w:p>
            <w:pPr>
              <w:spacing w:line="400" w:lineRule="exact"/>
              <w:rPr>
                <w:b/>
                <w:sz w:val="28"/>
                <w:szCs w:val="28"/>
              </w:rPr>
            </w:pPr>
            <w:r>
              <w:rPr>
                <w:b/>
                <w:sz w:val="28"/>
                <w:szCs w:val="28"/>
              </w:rPr>
              <w:t>3.报价表加盖公章密封，于</w:t>
            </w:r>
            <w:r>
              <w:rPr>
                <w:rFonts w:hint="eastAsia"/>
                <w:b/>
                <w:sz w:val="28"/>
                <w:szCs w:val="28"/>
                <w:lang w:val="en-US" w:eastAsia="zh-CN"/>
              </w:rPr>
              <w:t>1</w:t>
            </w:r>
            <w:r>
              <w:rPr>
                <w:b/>
                <w:sz w:val="28"/>
                <w:szCs w:val="28"/>
              </w:rPr>
              <w:t>月</w:t>
            </w:r>
            <w:r>
              <w:rPr>
                <w:rFonts w:hint="eastAsia"/>
                <w:b/>
                <w:sz w:val="28"/>
                <w:szCs w:val="28"/>
                <w:lang w:val="en-US" w:eastAsia="zh-CN"/>
              </w:rPr>
              <w:t>1</w:t>
            </w:r>
            <w:r>
              <w:rPr>
                <w:rFonts w:hint="eastAsia"/>
                <w:b/>
                <w:sz w:val="28"/>
                <w:szCs w:val="28"/>
              </w:rPr>
              <w:t>8</w:t>
            </w:r>
            <w:r>
              <w:rPr>
                <w:b/>
                <w:sz w:val="28"/>
                <w:szCs w:val="28"/>
              </w:rPr>
              <w:t xml:space="preserve">日16：00时前送至桐城市人民医院综合采购办公室，本着自愿原则，逾期视为放弃！   </w:t>
            </w:r>
          </w:p>
          <w:p>
            <w:pPr>
              <w:spacing w:line="400" w:lineRule="exact"/>
              <w:rPr>
                <w:b/>
                <w:sz w:val="28"/>
                <w:szCs w:val="28"/>
              </w:rPr>
            </w:pPr>
            <w:r>
              <w:rPr>
                <w:b/>
                <w:sz w:val="28"/>
                <w:szCs w:val="28"/>
              </w:rPr>
              <w:t>4.不接收快递报价文件。</w:t>
            </w:r>
          </w:p>
        </w:tc>
      </w:tr>
    </w:tbl>
    <w:p/>
    <w:p>
      <w:pPr>
        <w:ind w:firstLine="9940" w:firstLineChars="3550"/>
      </w:pPr>
      <w:r>
        <w:rPr>
          <w:rFonts w:hint="eastAsia"/>
          <w:sz w:val="28"/>
          <w:szCs w:val="28"/>
        </w:rPr>
        <w:t>桐城市人民医院综合采购办公室</w:t>
      </w:r>
    </w:p>
    <w:p>
      <w:pPr>
        <w:spacing w:line="400" w:lineRule="exact"/>
        <w:jc w:val="right"/>
        <w:rPr>
          <w:sz w:val="28"/>
          <w:szCs w:val="28"/>
        </w:rPr>
      </w:pPr>
      <w:r>
        <w:rPr>
          <w:rFonts w:hint="eastAsia"/>
          <w:sz w:val="28"/>
          <w:szCs w:val="28"/>
        </w:rPr>
        <w:t xml:space="preserve">            二零二</w:t>
      </w:r>
      <w:r>
        <w:rPr>
          <w:rFonts w:hint="eastAsia"/>
          <w:sz w:val="28"/>
          <w:szCs w:val="28"/>
          <w:lang w:val="en-US" w:eastAsia="zh-CN"/>
        </w:rPr>
        <w:t>三</w:t>
      </w:r>
      <w:r>
        <w:rPr>
          <w:rFonts w:hint="eastAsia"/>
          <w:sz w:val="28"/>
          <w:szCs w:val="28"/>
        </w:rPr>
        <w:t>年</w:t>
      </w:r>
      <w:r>
        <w:rPr>
          <w:rFonts w:hint="eastAsia"/>
          <w:sz w:val="28"/>
          <w:szCs w:val="28"/>
          <w:lang w:val="en-US" w:eastAsia="zh-CN"/>
        </w:rPr>
        <w:t>一</w:t>
      </w:r>
      <w:r>
        <w:rPr>
          <w:rFonts w:hint="eastAsia"/>
          <w:sz w:val="28"/>
          <w:szCs w:val="28"/>
        </w:rPr>
        <w:t>月十二日</w:t>
      </w:r>
    </w:p>
    <w:p>
      <w:pPr>
        <w:pStyle w:val="16"/>
        <w:rPr>
          <w:rFonts w:hAnsi="宋体" w:cs="宋体"/>
          <w:szCs w:val="21"/>
        </w:rPr>
      </w:pPr>
    </w:p>
    <w:p>
      <w:pPr>
        <w:pStyle w:val="16"/>
        <w:rPr>
          <w:rFonts w:hAnsi="宋体" w:cs="宋体"/>
          <w:szCs w:val="21"/>
        </w:rPr>
      </w:pPr>
    </w:p>
    <w:p>
      <w:pPr>
        <w:pStyle w:val="16"/>
        <w:rPr>
          <w:rFonts w:hint="eastAsia" w:hAnsi="宋体" w:cs="宋体"/>
          <w:szCs w:val="21"/>
          <w:lang w:val="en-US" w:eastAsia="zh-CN"/>
        </w:rPr>
      </w:pPr>
      <w:r>
        <w:rPr>
          <w:rFonts w:hint="eastAsia" w:hAnsi="宋体" w:cs="宋体"/>
          <w:szCs w:val="21"/>
          <w:lang w:val="en-US" w:eastAsia="zh-CN"/>
        </w:rPr>
        <w:t>附件：</w:t>
      </w:r>
    </w:p>
    <w:p>
      <w:pPr>
        <w:rPr>
          <w:rFonts w:hint="eastAsia"/>
          <w:sz w:val="15"/>
          <w:szCs w:val="15"/>
        </w:rPr>
      </w:pPr>
      <w:r>
        <w:rPr>
          <w:rFonts w:hint="eastAsia"/>
          <w:sz w:val="15"/>
          <w:szCs w:val="15"/>
        </w:rPr>
        <w:t>供应商资格要求</w:t>
      </w:r>
    </w:p>
    <w:p>
      <w:pPr>
        <w:rPr>
          <w:rFonts w:hint="eastAsia"/>
          <w:sz w:val="15"/>
          <w:szCs w:val="15"/>
        </w:rPr>
      </w:pPr>
      <w:r>
        <w:rPr>
          <w:rFonts w:hint="eastAsia"/>
          <w:sz w:val="15"/>
          <w:szCs w:val="15"/>
        </w:rPr>
        <w:t>1、具有工商行政管理部门颁发营业执照的独立法人资格、能够独立承担民事责任能力的生产厂家、代理商或经销商。</w:t>
      </w:r>
    </w:p>
    <w:p>
      <w:pPr>
        <w:rPr>
          <w:rFonts w:hint="eastAsia"/>
          <w:sz w:val="15"/>
          <w:szCs w:val="15"/>
        </w:rPr>
      </w:pPr>
      <w:r>
        <w:rPr>
          <w:rFonts w:hint="eastAsia"/>
          <w:sz w:val="15"/>
          <w:szCs w:val="15"/>
        </w:rPr>
        <w:t>2、供应商如为生产商，应具有《医疗器械经营许可证》或《第二类医疗器械经营备案凭证》、《医疗器械生产许可证》（须在有效期内）；供应商如为代理商，应具有《医疗器械经营许可证》</w:t>
      </w:r>
      <w:r>
        <w:rPr>
          <w:rFonts w:hint="eastAsia"/>
          <w:sz w:val="15"/>
          <w:szCs w:val="15"/>
          <w:lang w:eastAsia="zh-CN"/>
        </w:rPr>
        <w:t>或</w:t>
      </w:r>
      <w:r>
        <w:rPr>
          <w:rFonts w:hint="eastAsia"/>
          <w:sz w:val="15"/>
          <w:szCs w:val="15"/>
        </w:rPr>
        <w:t>《第二类医疗器械经营备案凭证》（须在有效期内）。</w:t>
      </w:r>
    </w:p>
    <w:p>
      <w:pPr>
        <w:rPr>
          <w:rFonts w:hint="eastAsia"/>
          <w:sz w:val="15"/>
          <w:szCs w:val="15"/>
        </w:rPr>
      </w:pPr>
      <w:r>
        <w:rPr>
          <w:rFonts w:hint="eastAsia"/>
          <w:sz w:val="15"/>
          <w:szCs w:val="15"/>
        </w:rPr>
        <w:t>二、产品及供货要求</w:t>
      </w:r>
    </w:p>
    <w:p>
      <w:pPr>
        <w:rPr>
          <w:rFonts w:hint="eastAsia"/>
          <w:sz w:val="15"/>
          <w:szCs w:val="15"/>
        </w:rPr>
      </w:pPr>
      <w:r>
        <w:rPr>
          <w:rFonts w:hint="eastAsia"/>
          <w:sz w:val="15"/>
          <w:szCs w:val="15"/>
        </w:rPr>
        <w:t>1、产品须为合法企业生产，符合国家相关质量标准。</w:t>
      </w:r>
    </w:p>
    <w:p>
      <w:pPr>
        <w:rPr>
          <w:rFonts w:hint="eastAsia"/>
          <w:sz w:val="15"/>
          <w:szCs w:val="15"/>
        </w:rPr>
      </w:pPr>
      <w:r>
        <w:rPr>
          <w:rFonts w:hint="eastAsia"/>
          <w:sz w:val="15"/>
          <w:szCs w:val="15"/>
        </w:rPr>
        <w:t>2、投标要求与投标文件视为招标人与中标人签订中标购销协议的有效组成部分。</w:t>
      </w:r>
    </w:p>
    <w:p>
      <w:pPr>
        <w:rPr>
          <w:rFonts w:hint="eastAsia"/>
          <w:sz w:val="15"/>
          <w:szCs w:val="15"/>
        </w:rPr>
      </w:pPr>
      <w:r>
        <w:rPr>
          <w:rFonts w:hint="eastAsia"/>
          <w:sz w:val="15"/>
          <w:szCs w:val="15"/>
        </w:rPr>
        <w:t>3、投标人投标时必须提供产品彩页或照片以及产品说明、具体的规格型号。乙方在供货期内保证所提供的产品合格率100%，产品须为2022年生产的医疗设备，如出现不符合招标文件要求的产品，无条件退货。</w:t>
      </w:r>
    </w:p>
    <w:p>
      <w:pPr>
        <w:rPr>
          <w:rFonts w:hint="eastAsia"/>
          <w:sz w:val="15"/>
          <w:szCs w:val="15"/>
        </w:rPr>
      </w:pPr>
      <w:r>
        <w:rPr>
          <w:rFonts w:hint="eastAsia"/>
          <w:sz w:val="15"/>
          <w:szCs w:val="15"/>
        </w:rPr>
        <w:t>4、交货、安装、调试期：合同签订后（因新建医院）乙方根据甲方要求的时间内完成交货（具体采购数量应根据甲方要</w:t>
      </w:r>
      <w:bookmarkStart w:id="0" w:name="_GoBack"/>
      <w:bookmarkEnd w:id="0"/>
      <w:r>
        <w:rPr>
          <w:rFonts w:hint="eastAsia"/>
          <w:sz w:val="15"/>
          <w:szCs w:val="15"/>
        </w:rPr>
        <w:t>求分批或一次性采购）、安装、调试。乙方应对甲方的相关人员进行免费现场培训。培训内容包括基本操作、保养维修、常见故障及解决办法等,免费提供设备操作手册和维护保养手册。</w:t>
      </w:r>
    </w:p>
    <w:p>
      <w:pPr>
        <w:rPr>
          <w:rFonts w:hint="eastAsia"/>
          <w:sz w:val="15"/>
          <w:szCs w:val="15"/>
        </w:rPr>
      </w:pPr>
      <w:r>
        <w:rPr>
          <w:rFonts w:hint="eastAsia"/>
          <w:sz w:val="15"/>
          <w:szCs w:val="15"/>
        </w:rPr>
        <w:t>5、列出所有与设备相关的常备维修配件清单，标明品牌、型号、产地等并分项报价，供以后维修用，质保</w:t>
      </w:r>
      <w:r>
        <w:rPr>
          <w:rFonts w:hint="eastAsia"/>
          <w:sz w:val="15"/>
          <w:szCs w:val="15"/>
          <w:lang w:eastAsia="zh-CN"/>
        </w:rPr>
        <w:t>一</w:t>
      </w:r>
      <w:r>
        <w:rPr>
          <w:rFonts w:hint="eastAsia"/>
          <w:sz w:val="15"/>
          <w:szCs w:val="15"/>
        </w:rPr>
        <w:t>年。</w:t>
      </w:r>
    </w:p>
    <w:p>
      <w:pPr>
        <w:rPr>
          <w:rFonts w:hint="eastAsia"/>
          <w:sz w:val="15"/>
          <w:szCs w:val="15"/>
        </w:rPr>
      </w:pPr>
      <w:r>
        <w:rPr>
          <w:rFonts w:hint="eastAsia"/>
          <w:sz w:val="15"/>
          <w:szCs w:val="15"/>
        </w:rPr>
        <w:t>6、付款方式：合同签订后乙方根据甲方要求的时间内供货并安装调试，所有设备到场付50%，安装调试并经甲方验收合格后付至90%，余款10%按乙方所投质保期年限均摊付款（不计息）。</w:t>
      </w:r>
    </w:p>
    <w:p>
      <w:pPr>
        <w:rPr>
          <w:rFonts w:hint="eastAsia"/>
          <w:sz w:val="15"/>
          <w:szCs w:val="15"/>
          <w:lang w:eastAsia="zh-CN"/>
        </w:rPr>
      </w:pPr>
      <w:r>
        <w:rPr>
          <w:rFonts w:hint="eastAsia"/>
          <w:sz w:val="15"/>
          <w:szCs w:val="15"/>
          <w:lang w:eastAsia="zh-CN"/>
        </w:rPr>
        <w:t>手术交换车：</w:t>
      </w:r>
    </w:p>
    <w:p>
      <w:pPr>
        <w:rPr>
          <w:rFonts w:hint="eastAsia"/>
          <w:sz w:val="15"/>
          <w:szCs w:val="15"/>
          <w:lang w:val="en-US" w:eastAsia="zh-CN"/>
        </w:rPr>
      </w:pPr>
      <w:r>
        <w:rPr>
          <w:rFonts w:hint="eastAsia"/>
          <w:sz w:val="15"/>
          <w:szCs w:val="15"/>
          <w:lang w:val="en-US" w:eastAsia="zh-CN"/>
        </w:rPr>
        <w:t>1、规格：外部尺寸≧3570mm×640mm×（660～950）mm床面尺寸≧2000*550mm</w:t>
      </w:r>
    </w:p>
    <w:p>
      <w:pPr>
        <w:rPr>
          <w:rFonts w:hint="eastAsia"/>
          <w:sz w:val="15"/>
          <w:szCs w:val="15"/>
        </w:rPr>
      </w:pPr>
      <w:r>
        <w:rPr>
          <w:rFonts w:hint="eastAsia"/>
          <w:sz w:val="15"/>
          <w:szCs w:val="15"/>
          <w:lang w:val="en-US" w:eastAsia="zh-CN"/>
        </w:rPr>
        <w:t>2、由内外推车及担架三部分组成。内外以轨道对接，担架部分可在轨道上滑动。对接锁紧装置灵活，安全可靠，分离内外</w:t>
      </w:r>
      <w:r>
        <w:rPr>
          <w:rFonts w:hint="eastAsia"/>
          <w:sz w:val="15"/>
          <w:szCs w:val="15"/>
        </w:rPr>
        <w:t>车时只需在一端操作，内车，外车和担架均可独立配合使用，担架和内外车都有独立的锁紧装置，操作方便简捷，具有对接导向功能，用户可以单独采购以上三部分或组合；</w:t>
      </w:r>
    </w:p>
    <w:p>
      <w:pPr>
        <w:rPr>
          <w:rFonts w:hint="eastAsia"/>
          <w:sz w:val="15"/>
          <w:szCs w:val="15"/>
        </w:rPr>
      </w:pPr>
      <w:r>
        <w:rPr>
          <w:rFonts w:hint="eastAsia"/>
          <w:sz w:val="15"/>
          <w:szCs w:val="15"/>
          <w:lang w:val="en-US" w:eastAsia="zh-CN"/>
        </w:rPr>
        <w:t>3、</w:t>
      </w:r>
      <w:r>
        <w:rPr>
          <w:rFonts w:hint="eastAsia"/>
          <w:sz w:val="15"/>
          <w:szCs w:val="15"/>
        </w:rPr>
        <w:t>车架主体、轨道采用优质高强度铝合金一次压铸成型；</w:t>
      </w:r>
    </w:p>
    <w:p>
      <w:pPr>
        <w:rPr>
          <w:rFonts w:hint="eastAsia"/>
          <w:sz w:val="15"/>
          <w:szCs w:val="15"/>
        </w:rPr>
      </w:pPr>
      <w:r>
        <w:rPr>
          <w:rFonts w:hint="eastAsia"/>
          <w:sz w:val="15"/>
          <w:szCs w:val="15"/>
        </w:rPr>
        <w:t>★</w:t>
      </w:r>
      <w:r>
        <w:rPr>
          <w:rFonts w:hint="eastAsia"/>
          <w:sz w:val="15"/>
          <w:szCs w:val="15"/>
          <w:lang w:val="en-US" w:eastAsia="zh-CN"/>
        </w:rPr>
        <w:t>4、</w:t>
      </w:r>
      <w:r>
        <w:rPr>
          <w:rFonts w:hint="eastAsia"/>
          <w:sz w:val="15"/>
          <w:szCs w:val="15"/>
        </w:rPr>
        <w:t>床面、护栏主体采用一体注塑成型，四面耐冲击可拆卸式优质ABS塑钢材料，护栏耐腐蚀可拆卸清洗消毒，具有缓降装置,与手术床可零间隙转移病人；</w:t>
      </w:r>
    </w:p>
    <w:p>
      <w:pPr>
        <w:rPr>
          <w:rFonts w:hint="eastAsia"/>
          <w:sz w:val="15"/>
          <w:szCs w:val="15"/>
        </w:rPr>
      </w:pPr>
      <w:r>
        <w:rPr>
          <w:rFonts w:hint="eastAsia"/>
          <w:sz w:val="15"/>
          <w:szCs w:val="15"/>
        </w:rPr>
        <w:t>★</w:t>
      </w:r>
      <w:r>
        <w:rPr>
          <w:rFonts w:hint="eastAsia"/>
          <w:sz w:val="15"/>
          <w:szCs w:val="15"/>
          <w:lang w:val="en-US" w:eastAsia="zh-CN"/>
        </w:rPr>
        <w:t>5、</w:t>
      </w:r>
      <w:r>
        <w:rPr>
          <w:rFonts w:hint="eastAsia"/>
          <w:sz w:val="15"/>
          <w:szCs w:val="15"/>
        </w:rPr>
        <w:t>担架以优质ABS材料一次性塑具成型，背部可手控抬高。担架面以多层高强度防水布铺垫，可作移动病人用。担架两边安装有ABS塑具成型的活动护栏；</w:t>
      </w:r>
    </w:p>
    <w:p>
      <w:pPr>
        <w:rPr>
          <w:rFonts w:hint="eastAsia"/>
          <w:sz w:val="15"/>
          <w:szCs w:val="15"/>
        </w:rPr>
      </w:pPr>
      <w:r>
        <w:rPr>
          <w:rFonts w:hint="eastAsia"/>
          <w:sz w:val="15"/>
          <w:szCs w:val="15"/>
          <w:lang w:val="en-US" w:eastAsia="zh-CN"/>
        </w:rPr>
        <w:t>6、</w:t>
      </w:r>
      <w:r>
        <w:rPr>
          <w:rFonts w:hint="eastAsia"/>
          <w:sz w:val="15"/>
          <w:szCs w:val="15"/>
        </w:rPr>
        <w:t>推车部分以高强度合金喷塑制作，具有轻盈牢固的特点。推车具有升降功能，升降幅度0～340mm之间，内外推车的颜色可根据用户要求选定；</w:t>
      </w:r>
    </w:p>
    <w:p>
      <w:pPr>
        <w:rPr>
          <w:rFonts w:hint="eastAsia"/>
          <w:sz w:val="15"/>
          <w:szCs w:val="15"/>
        </w:rPr>
      </w:pPr>
      <w:r>
        <w:rPr>
          <w:rFonts w:hint="eastAsia"/>
          <w:sz w:val="15"/>
          <w:szCs w:val="15"/>
          <w:lang w:val="en-US" w:eastAsia="zh-CN"/>
        </w:rPr>
        <w:t>7、</w:t>
      </w:r>
      <w:r>
        <w:rPr>
          <w:rFonts w:hint="eastAsia"/>
          <w:sz w:val="15"/>
          <w:szCs w:val="15"/>
        </w:rPr>
        <w:t>背部升降角度≥70°，背部采用气弹簧无极调节；两侧各配有两个引流袋挂钩；</w:t>
      </w:r>
    </w:p>
    <w:p>
      <w:pPr>
        <w:rPr>
          <w:rFonts w:hint="eastAsia"/>
          <w:sz w:val="15"/>
          <w:szCs w:val="15"/>
        </w:rPr>
      </w:pPr>
      <w:r>
        <w:rPr>
          <w:rFonts w:hint="eastAsia"/>
          <w:sz w:val="15"/>
          <w:szCs w:val="15"/>
        </w:rPr>
        <w:t>★</w:t>
      </w:r>
      <w:r>
        <w:rPr>
          <w:rFonts w:hint="eastAsia"/>
          <w:sz w:val="15"/>
          <w:szCs w:val="15"/>
          <w:lang w:val="en-US" w:eastAsia="zh-CN"/>
        </w:rPr>
        <w:t>8、</w:t>
      </w:r>
      <w:r>
        <w:rPr>
          <w:rFonts w:hint="eastAsia"/>
          <w:sz w:val="15"/>
          <w:szCs w:val="15"/>
        </w:rPr>
        <w:t>有导向对接轨道保证床面前后运动平稳、坚固、顺畅、静噪、可靠；</w:t>
      </w:r>
    </w:p>
    <w:p>
      <w:pPr>
        <w:rPr>
          <w:rFonts w:hint="eastAsia"/>
          <w:sz w:val="15"/>
          <w:szCs w:val="15"/>
        </w:rPr>
      </w:pPr>
      <w:r>
        <w:rPr>
          <w:rFonts w:hint="eastAsia"/>
          <w:sz w:val="15"/>
          <w:szCs w:val="15"/>
          <w:lang w:val="en-US" w:eastAsia="zh-CN"/>
        </w:rPr>
        <w:t>9、</w:t>
      </w:r>
      <w:r>
        <w:rPr>
          <w:rFonts w:hint="eastAsia"/>
          <w:sz w:val="15"/>
          <w:szCs w:val="15"/>
        </w:rPr>
        <w:t>床面移动至另一单台车架上，可自动锁紧，并设有保险装置；</w:t>
      </w:r>
    </w:p>
    <w:p>
      <w:pPr>
        <w:rPr>
          <w:rFonts w:hint="eastAsia"/>
          <w:sz w:val="15"/>
          <w:szCs w:val="15"/>
        </w:rPr>
      </w:pPr>
      <w:r>
        <w:rPr>
          <w:rFonts w:hint="eastAsia"/>
          <w:sz w:val="15"/>
          <w:szCs w:val="15"/>
        </w:rPr>
        <w:t>★</w:t>
      </w:r>
      <w:r>
        <w:rPr>
          <w:rFonts w:hint="eastAsia"/>
          <w:sz w:val="15"/>
          <w:szCs w:val="15"/>
          <w:lang w:val="en-US" w:eastAsia="zh-CN"/>
        </w:rPr>
        <w:t>10、</w:t>
      </w:r>
      <w:r>
        <w:rPr>
          <w:rFonts w:hint="eastAsia"/>
          <w:sz w:val="15"/>
          <w:szCs w:val="15"/>
        </w:rPr>
        <w:t>两部推车各安装有四只6″中心制动万向脚轮，分别采用一脚中心制动，两定向、两万向，分三档控制，前档两轮定向运行，中档四轮万向运行，后档四轮全部制动，以保证运行平稳；</w:t>
      </w:r>
    </w:p>
    <w:p>
      <w:pPr>
        <w:rPr>
          <w:rFonts w:hint="eastAsia"/>
          <w:sz w:val="15"/>
          <w:szCs w:val="15"/>
        </w:rPr>
      </w:pPr>
      <w:r>
        <w:rPr>
          <w:rFonts w:hint="eastAsia"/>
          <w:sz w:val="15"/>
          <w:szCs w:val="15"/>
        </w:rPr>
        <w:t>★</w:t>
      </w:r>
      <w:r>
        <w:rPr>
          <w:rFonts w:hint="eastAsia"/>
          <w:sz w:val="15"/>
          <w:szCs w:val="15"/>
          <w:lang w:val="en-US" w:eastAsia="zh-CN"/>
        </w:rPr>
        <w:t>11、</w:t>
      </w:r>
      <w:r>
        <w:rPr>
          <w:rFonts w:hint="eastAsia"/>
          <w:sz w:val="15"/>
          <w:szCs w:val="15"/>
        </w:rPr>
        <w:t>手摇丝杆获国家专利的双向过盈保护装置，具有自润滑功能，操作轻便灵活，静音耐磨，过载保护在正常使用情况下,任意摇动不会脱落；</w:t>
      </w:r>
    </w:p>
    <w:p>
      <w:pPr>
        <w:rPr>
          <w:rFonts w:hint="eastAsia"/>
          <w:sz w:val="15"/>
          <w:szCs w:val="15"/>
        </w:rPr>
      </w:pPr>
      <w:r>
        <w:rPr>
          <w:rFonts w:hint="eastAsia"/>
          <w:sz w:val="15"/>
          <w:szCs w:val="15"/>
          <w:lang w:val="en-US" w:eastAsia="zh-CN"/>
        </w:rPr>
        <w:t>12、</w:t>
      </w:r>
      <w:r>
        <w:rPr>
          <w:rFonts w:hint="eastAsia"/>
          <w:sz w:val="15"/>
          <w:szCs w:val="15"/>
        </w:rPr>
        <w:t>床头四角配有四钩螺钉锁紧可调式输液杆及3L氧气瓶挂钩，以备抢救之用，床下配有存放病例和物品的篮筐(用户需要可免费安装）。</w:t>
      </w:r>
    </w:p>
    <w:p>
      <w:pPr>
        <w:rPr>
          <w:rFonts w:hint="eastAsia"/>
          <w:sz w:val="15"/>
          <w:szCs w:val="15"/>
          <w:lang w:val="en-US" w:eastAsia="zh-CN"/>
        </w:rPr>
      </w:pPr>
      <w:r>
        <w:rPr>
          <w:rFonts w:hint="eastAsia"/>
          <w:sz w:val="15"/>
          <w:szCs w:val="15"/>
          <w:lang w:val="en-US" w:eastAsia="zh-CN"/>
        </w:rPr>
        <w:t>13、配3L氧气瓶一只。</w:t>
      </w:r>
    </w:p>
    <w:sectPr>
      <w:pgSz w:w="16838" w:h="11906" w:orient="landscape"/>
      <w:pgMar w:top="1418"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7591E"/>
    <w:multiLevelType w:val="multilevel"/>
    <w:tmpl w:val="3747591E"/>
    <w:lvl w:ilvl="0" w:tentative="0">
      <w:start w:val="1"/>
      <w:numFmt w:val="bullet"/>
      <w:pStyle w:val="20"/>
      <w:lvlText w:val=""/>
      <w:lvlJc w:val="left"/>
      <w:pPr>
        <w:tabs>
          <w:tab w:val="left" w:pos="590"/>
        </w:tabs>
        <w:ind w:left="590" w:hanging="420"/>
      </w:pPr>
      <w:rPr>
        <w:rFonts w:hint="default" w:ascii="Wingdings" w:hAnsi="Wingdings"/>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k4ZGJmMWMzMjA2ZmVkN2QzZWU0M2Y0OGQ1YzhkMjkifQ=="/>
  </w:docVars>
  <w:rsids>
    <w:rsidRoot w:val="005D179D"/>
    <w:rsid w:val="0000122F"/>
    <w:rsid w:val="000018B8"/>
    <w:rsid w:val="00003739"/>
    <w:rsid w:val="000037D7"/>
    <w:rsid w:val="00005C7C"/>
    <w:rsid w:val="00007133"/>
    <w:rsid w:val="00013228"/>
    <w:rsid w:val="00016741"/>
    <w:rsid w:val="000206CF"/>
    <w:rsid w:val="0003143E"/>
    <w:rsid w:val="00032FED"/>
    <w:rsid w:val="000444CE"/>
    <w:rsid w:val="00045D88"/>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35EBE"/>
    <w:rsid w:val="001421A3"/>
    <w:rsid w:val="001571C2"/>
    <w:rsid w:val="00171F5D"/>
    <w:rsid w:val="00177DB2"/>
    <w:rsid w:val="0019435A"/>
    <w:rsid w:val="00196698"/>
    <w:rsid w:val="001A1708"/>
    <w:rsid w:val="001A38C2"/>
    <w:rsid w:val="001A456B"/>
    <w:rsid w:val="001B4C4C"/>
    <w:rsid w:val="001B6AC4"/>
    <w:rsid w:val="001D663B"/>
    <w:rsid w:val="001E564F"/>
    <w:rsid w:val="001E5FAB"/>
    <w:rsid w:val="001F0A6D"/>
    <w:rsid w:val="001F6714"/>
    <w:rsid w:val="00211C89"/>
    <w:rsid w:val="002168C7"/>
    <w:rsid w:val="0021768F"/>
    <w:rsid w:val="00221C27"/>
    <w:rsid w:val="00222C98"/>
    <w:rsid w:val="00227D0F"/>
    <w:rsid w:val="00231405"/>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A2DB0"/>
    <w:rsid w:val="002A401B"/>
    <w:rsid w:val="002A6487"/>
    <w:rsid w:val="002B1A94"/>
    <w:rsid w:val="002B24F0"/>
    <w:rsid w:val="002C19A1"/>
    <w:rsid w:val="002D4B33"/>
    <w:rsid w:val="002E113F"/>
    <w:rsid w:val="002E7B73"/>
    <w:rsid w:val="002F5905"/>
    <w:rsid w:val="002F5E92"/>
    <w:rsid w:val="002F6753"/>
    <w:rsid w:val="00301DF3"/>
    <w:rsid w:val="00305113"/>
    <w:rsid w:val="00305F0D"/>
    <w:rsid w:val="003077E9"/>
    <w:rsid w:val="0031014E"/>
    <w:rsid w:val="00314309"/>
    <w:rsid w:val="00317951"/>
    <w:rsid w:val="00323B43"/>
    <w:rsid w:val="003245CF"/>
    <w:rsid w:val="0033037E"/>
    <w:rsid w:val="003346DE"/>
    <w:rsid w:val="00343ECC"/>
    <w:rsid w:val="00350A44"/>
    <w:rsid w:val="00357B0B"/>
    <w:rsid w:val="003618CE"/>
    <w:rsid w:val="003618F3"/>
    <w:rsid w:val="0036441E"/>
    <w:rsid w:val="0036790B"/>
    <w:rsid w:val="00372108"/>
    <w:rsid w:val="00376BAA"/>
    <w:rsid w:val="00380095"/>
    <w:rsid w:val="0038064C"/>
    <w:rsid w:val="00382A13"/>
    <w:rsid w:val="0038359D"/>
    <w:rsid w:val="0038392B"/>
    <w:rsid w:val="00393815"/>
    <w:rsid w:val="00393935"/>
    <w:rsid w:val="003960D8"/>
    <w:rsid w:val="00397E74"/>
    <w:rsid w:val="003A439D"/>
    <w:rsid w:val="003B28F9"/>
    <w:rsid w:val="003B7C4B"/>
    <w:rsid w:val="003D37D8"/>
    <w:rsid w:val="003E4210"/>
    <w:rsid w:val="003F0AAC"/>
    <w:rsid w:val="003F5796"/>
    <w:rsid w:val="00421E02"/>
    <w:rsid w:val="00434BEF"/>
    <w:rsid w:val="004358AB"/>
    <w:rsid w:val="00441FA4"/>
    <w:rsid w:val="00447DD4"/>
    <w:rsid w:val="004567F2"/>
    <w:rsid w:val="00456C0A"/>
    <w:rsid w:val="00465E47"/>
    <w:rsid w:val="0047131C"/>
    <w:rsid w:val="004752CB"/>
    <w:rsid w:val="00475A21"/>
    <w:rsid w:val="00480E48"/>
    <w:rsid w:val="004A2D36"/>
    <w:rsid w:val="004A4F69"/>
    <w:rsid w:val="004D604F"/>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A3606"/>
    <w:rsid w:val="005A5388"/>
    <w:rsid w:val="005A79BE"/>
    <w:rsid w:val="005B4B3F"/>
    <w:rsid w:val="005C2D41"/>
    <w:rsid w:val="005C459C"/>
    <w:rsid w:val="005D179D"/>
    <w:rsid w:val="005E65B1"/>
    <w:rsid w:val="005E75A7"/>
    <w:rsid w:val="005F0B31"/>
    <w:rsid w:val="005F5D70"/>
    <w:rsid w:val="005F7300"/>
    <w:rsid w:val="006051CA"/>
    <w:rsid w:val="00614517"/>
    <w:rsid w:val="00617158"/>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80B94"/>
    <w:rsid w:val="00682D1D"/>
    <w:rsid w:val="00693547"/>
    <w:rsid w:val="00694329"/>
    <w:rsid w:val="006A1CA0"/>
    <w:rsid w:val="006A5943"/>
    <w:rsid w:val="006B323E"/>
    <w:rsid w:val="006C2826"/>
    <w:rsid w:val="006C31E0"/>
    <w:rsid w:val="006D187D"/>
    <w:rsid w:val="006D1B2E"/>
    <w:rsid w:val="006E40B9"/>
    <w:rsid w:val="006E4A39"/>
    <w:rsid w:val="006F1845"/>
    <w:rsid w:val="006F3A8B"/>
    <w:rsid w:val="006F4DAA"/>
    <w:rsid w:val="007020F4"/>
    <w:rsid w:val="00711A3E"/>
    <w:rsid w:val="00724AE4"/>
    <w:rsid w:val="007256FB"/>
    <w:rsid w:val="007267FD"/>
    <w:rsid w:val="00731445"/>
    <w:rsid w:val="00731A95"/>
    <w:rsid w:val="007347A1"/>
    <w:rsid w:val="007441F8"/>
    <w:rsid w:val="0074577E"/>
    <w:rsid w:val="007562F7"/>
    <w:rsid w:val="007600F9"/>
    <w:rsid w:val="00760938"/>
    <w:rsid w:val="00764C06"/>
    <w:rsid w:val="007676C2"/>
    <w:rsid w:val="00767B1F"/>
    <w:rsid w:val="007709C5"/>
    <w:rsid w:val="00774D0F"/>
    <w:rsid w:val="00777BCA"/>
    <w:rsid w:val="00786A0C"/>
    <w:rsid w:val="00797AB9"/>
    <w:rsid w:val="007A58D0"/>
    <w:rsid w:val="007B0DDE"/>
    <w:rsid w:val="007C5E40"/>
    <w:rsid w:val="007C7909"/>
    <w:rsid w:val="007D6A0A"/>
    <w:rsid w:val="007D7FD7"/>
    <w:rsid w:val="007E2F8A"/>
    <w:rsid w:val="007E601B"/>
    <w:rsid w:val="007F0CEB"/>
    <w:rsid w:val="007F4857"/>
    <w:rsid w:val="00804A28"/>
    <w:rsid w:val="008235D5"/>
    <w:rsid w:val="0082599B"/>
    <w:rsid w:val="0082716E"/>
    <w:rsid w:val="00833418"/>
    <w:rsid w:val="008365CE"/>
    <w:rsid w:val="00853DDF"/>
    <w:rsid w:val="00856588"/>
    <w:rsid w:val="008573B4"/>
    <w:rsid w:val="00871401"/>
    <w:rsid w:val="00877412"/>
    <w:rsid w:val="00881D34"/>
    <w:rsid w:val="00887E60"/>
    <w:rsid w:val="00896418"/>
    <w:rsid w:val="008A5B0C"/>
    <w:rsid w:val="008A66B6"/>
    <w:rsid w:val="008B2E15"/>
    <w:rsid w:val="008B39C0"/>
    <w:rsid w:val="008B7726"/>
    <w:rsid w:val="008B791D"/>
    <w:rsid w:val="008C2762"/>
    <w:rsid w:val="008C48E1"/>
    <w:rsid w:val="008D41B0"/>
    <w:rsid w:val="008D489A"/>
    <w:rsid w:val="008E2ED9"/>
    <w:rsid w:val="008E47E0"/>
    <w:rsid w:val="008F4004"/>
    <w:rsid w:val="008F4728"/>
    <w:rsid w:val="009032E2"/>
    <w:rsid w:val="00912AE4"/>
    <w:rsid w:val="00914AFB"/>
    <w:rsid w:val="00916B45"/>
    <w:rsid w:val="00923CE0"/>
    <w:rsid w:val="0094079B"/>
    <w:rsid w:val="0096184A"/>
    <w:rsid w:val="0096432C"/>
    <w:rsid w:val="00965403"/>
    <w:rsid w:val="00973B88"/>
    <w:rsid w:val="00975347"/>
    <w:rsid w:val="0098001F"/>
    <w:rsid w:val="009805C6"/>
    <w:rsid w:val="009833CF"/>
    <w:rsid w:val="0098491D"/>
    <w:rsid w:val="00990878"/>
    <w:rsid w:val="009927AE"/>
    <w:rsid w:val="009930A0"/>
    <w:rsid w:val="0099333B"/>
    <w:rsid w:val="0099597E"/>
    <w:rsid w:val="009B2F8A"/>
    <w:rsid w:val="009B745C"/>
    <w:rsid w:val="009C104D"/>
    <w:rsid w:val="009C16A8"/>
    <w:rsid w:val="009C2629"/>
    <w:rsid w:val="009D0048"/>
    <w:rsid w:val="009D2E86"/>
    <w:rsid w:val="009D634E"/>
    <w:rsid w:val="009E180C"/>
    <w:rsid w:val="009F0CFF"/>
    <w:rsid w:val="00A001CE"/>
    <w:rsid w:val="00A037F8"/>
    <w:rsid w:val="00A04D70"/>
    <w:rsid w:val="00A06AF2"/>
    <w:rsid w:val="00A07364"/>
    <w:rsid w:val="00A10916"/>
    <w:rsid w:val="00A12EB9"/>
    <w:rsid w:val="00A215C3"/>
    <w:rsid w:val="00A26522"/>
    <w:rsid w:val="00A274BE"/>
    <w:rsid w:val="00A30684"/>
    <w:rsid w:val="00A3543E"/>
    <w:rsid w:val="00A51E12"/>
    <w:rsid w:val="00A53156"/>
    <w:rsid w:val="00A61A04"/>
    <w:rsid w:val="00A73898"/>
    <w:rsid w:val="00A83D1E"/>
    <w:rsid w:val="00A872EA"/>
    <w:rsid w:val="00A96608"/>
    <w:rsid w:val="00AB01B6"/>
    <w:rsid w:val="00AC4519"/>
    <w:rsid w:val="00AC6EA3"/>
    <w:rsid w:val="00AE2875"/>
    <w:rsid w:val="00AF4CAF"/>
    <w:rsid w:val="00B0018C"/>
    <w:rsid w:val="00B11872"/>
    <w:rsid w:val="00B23B2C"/>
    <w:rsid w:val="00B4145D"/>
    <w:rsid w:val="00B52DED"/>
    <w:rsid w:val="00B606C2"/>
    <w:rsid w:val="00B6204E"/>
    <w:rsid w:val="00B670F5"/>
    <w:rsid w:val="00B82539"/>
    <w:rsid w:val="00B84E71"/>
    <w:rsid w:val="00B90C84"/>
    <w:rsid w:val="00BA22E0"/>
    <w:rsid w:val="00BA76E2"/>
    <w:rsid w:val="00BB09CD"/>
    <w:rsid w:val="00BB1482"/>
    <w:rsid w:val="00BB3B76"/>
    <w:rsid w:val="00BB7CC0"/>
    <w:rsid w:val="00BC52A9"/>
    <w:rsid w:val="00BD0341"/>
    <w:rsid w:val="00BD20C1"/>
    <w:rsid w:val="00BE0B8B"/>
    <w:rsid w:val="00BE2D5A"/>
    <w:rsid w:val="00BE2DC0"/>
    <w:rsid w:val="00BE62FE"/>
    <w:rsid w:val="00BE7B5F"/>
    <w:rsid w:val="00BF1B2D"/>
    <w:rsid w:val="00BF3163"/>
    <w:rsid w:val="00BF4C9E"/>
    <w:rsid w:val="00BF5433"/>
    <w:rsid w:val="00C00673"/>
    <w:rsid w:val="00C01202"/>
    <w:rsid w:val="00C2328F"/>
    <w:rsid w:val="00C32C6C"/>
    <w:rsid w:val="00C35AB1"/>
    <w:rsid w:val="00C3726B"/>
    <w:rsid w:val="00C441E4"/>
    <w:rsid w:val="00C52878"/>
    <w:rsid w:val="00C660E4"/>
    <w:rsid w:val="00C67676"/>
    <w:rsid w:val="00C74D65"/>
    <w:rsid w:val="00CA2264"/>
    <w:rsid w:val="00CA5C97"/>
    <w:rsid w:val="00CA6808"/>
    <w:rsid w:val="00CB57E2"/>
    <w:rsid w:val="00CC0165"/>
    <w:rsid w:val="00CC2E07"/>
    <w:rsid w:val="00CD607D"/>
    <w:rsid w:val="00CE672E"/>
    <w:rsid w:val="00CF1492"/>
    <w:rsid w:val="00D0335B"/>
    <w:rsid w:val="00D05C6A"/>
    <w:rsid w:val="00D10679"/>
    <w:rsid w:val="00D13F31"/>
    <w:rsid w:val="00D16843"/>
    <w:rsid w:val="00D20689"/>
    <w:rsid w:val="00D20734"/>
    <w:rsid w:val="00D20B8C"/>
    <w:rsid w:val="00D214C1"/>
    <w:rsid w:val="00D25821"/>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338BA"/>
    <w:rsid w:val="00E339C7"/>
    <w:rsid w:val="00E34D29"/>
    <w:rsid w:val="00E41DC4"/>
    <w:rsid w:val="00E51DF9"/>
    <w:rsid w:val="00E6210F"/>
    <w:rsid w:val="00E63E7B"/>
    <w:rsid w:val="00E757E7"/>
    <w:rsid w:val="00E8019D"/>
    <w:rsid w:val="00E858D9"/>
    <w:rsid w:val="00E932C6"/>
    <w:rsid w:val="00EC3A3A"/>
    <w:rsid w:val="00EC4C9B"/>
    <w:rsid w:val="00EC61C8"/>
    <w:rsid w:val="00ED3065"/>
    <w:rsid w:val="00ED63E8"/>
    <w:rsid w:val="00ED7988"/>
    <w:rsid w:val="00EE0EE3"/>
    <w:rsid w:val="00EE77F0"/>
    <w:rsid w:val="00F00009"/>
    <w:rsid w:val="00F06861"/>
    <w:rsid w:val="00F1276F"/>
    <w:rsid w:val="00F1369D"/>
    <w:rsid w:val="00F267DF"/>
    <w:rsid w:val="00F41B05"/>
    <w:rsid w:val="00F42A4A"/>
    <w:rsid w:val="00F4338C"/>
    <w:rsid w:val="00F518A8"/>
    <w:rsid w:val="00F56916"/>
    <w:rsid w:val="00F6443F"/>
    <w:rsid w:val="00F65153"/>
    <w:rsid w:val="00F65839"/>
    <w:rsid w:val="00F65A3E"/>
    <w:rsid w:val="00F67E6B"/>
    <w:rsid w:val="00F71B0D"/>
    <w:rsid w:val="00F72C63"/>
    <w:rsid w:val="00F73315"/>
    <w:rsid w:val="00F73809"/>
    <w:rsid w:val="00F75735"/>
    <w:rsid w:val="00F7728B"/>
    <w:rsid w:val="00F82A43"/>
    <w:rsid w:val="00F969B4"/>
    <w:rsid w:val="00FB09CD"/>
    <w:rsid w:val="00FB350D"/>
    <w:rsid w:val="00FB44F5"/>
    <w:rsid w:val="00FB4C4B"/>
    <w:rsid w:val="00FB5F5C"/>
    <w:rsid w:val="00FC11A3"/>
    <w:rsid w:val="00FD52E0"/>
    <w:rsid w:val="00FD6406"/>
    <w:rsid w:val="00FE6CB2"/>
    <w:rsid w:val="00FF1B14"/>
    <w:rsid w:val="00FF3939"/>
    <w:rsid w:val="00FF42A6"/>
    <w:rsid w:val="00FF44D4"/>
    <w:rsid w:val="0410562E"/>
    <w:rsid w:val="39062C5C"/>
    <w:rsid w:val="417F5975"/>
    <w:rsid w:val="485B27A2"/>
    <w:rsid w:val="4DB841F3"/>
    <w:rsid w:val="5BEE2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0" w:line="240" w:lineRule="auto"/>
    </w:pPr>
    <w:rPr>
      <w:rFonts w:ascii="宋体" w:hAnsi="宋体" w:eastAsia="宋体" w:cs="宋体"/>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3">
    <w:name w:val="Date"/>
    <w:basedOn w:val="1"/>
    <w:next w:val="1"/>
    <w:link w:val="14"/>
    <w:semiHidden/>
    <w:unhideWhenUsed/>
    <w:uiPriority w:val="99"/>
    <w:pPr>
      <w:ind w:left="100" w:leftChars="2500"/>
    </w:pPr>
  </w:style>
  <w:style w:type="paragraph" w:styleId="4">
    <w:name w:val="Balloon Text"/>
    <w:basedOn w:val="1"/>
    <w:link w:val="15"/>
    <w:semiHidden/>
    <w:unhideWhenUsed/>
    <w:uiPriority w:val="99"/>
    <w:pPr>
      <w:widowControl w:val="0"/>
      <w:jc w:val="both"/>
    </w:pPr>
    <w:rPr>
      <w:rFonts w:ascii="Times New Roman" w:hAnsi="Times New Roman" w:cs="Times New Roman"/>
      <w:kern w:val="2"/>
      <w:sz w:val="18"/>
      <w:szCs w:val="18"/>
    </w:rPr>
  </w:style>
  <w:style w:type="paragraph" w:styleId="5">
    <w:name w:val="footer"/>
    <w:basedOn w:val="1"/>
    <w:link w:val="12"/>
    <w:unhideWhenUsed/>
    <w:uiPriority w:val="99"/>
    <w:pPr>
      <w:tabs>
        <w:tab w:val="center" w:pos="4153"/>
        <w:tab w:val="right" w:pos="8306"/>
      </w:tabs>
      <w:snapToGrid w:val="0"/>
    </w:pPr>
    <w:rPr>
      <w:sz w:val="18"/>
      <w:szCs w:val="18"/>
    </w:rPr>
  </w:style>
  <w:style w:type="paragraph" w:styleId="6">
    <w:name w:val="header"/>
    <w:basedOn w:val="1"/>
    <w:link w:val="11"/>
    <w:unhideWhenUsed/>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7">
    <w:name w:val="Normal (Web)"/>
    <w:basedOn w:val="1"/>
    <w:unhideWhenUsed/>
    <w:uiPriority w:val="0"/>
    <w:pPr>
      <w:spacing w:before="100" w:beforeAutospacing="1" w:after="100" w:afterAutospacing="1"/>
    </w:pPr>
  </w:style>
  <w:style w:type="table" w:styleId="9">
    <w:name w:val="Table Grid"/>
    <w:basedOn w:val="8"/>
    <w:uiPriority w:val="0"/>
    <w:pPr>
      <w:widowControl w:val="0"/>
      <w:spacing w:after="0" w:line="240" w:lineRule="auto"/>
      <w:jc w:val="both"/>
    </w:pPr>
    <w:rPr>
      <w:rFonts w:ascii="宋体"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uiPriority w:val="99"/>
    <w:rPr>
      <w:rFonts w:ascii="Times New Roman" w:hAnsi="Times New Roman" w:eastAsia="宋体" w:cs="Times New Roman"/>
      <w:kern w:val="2"/>
      <w:sz w:val="18"/>
      <w:szCs w:val="18"/>
    </w:rPr>
  </w:style>
  <w:style w:type="character" w:customStyle="1" w:styleId="12">
    <w:name w:val="页脚 Char"/>
    <w:basedOn w:val="10"/>
    <w:link w:val="5"/>
    <w:uiPriority w:val="99"/>
    <w:rPr>
      <w:rFonts w:ascii="Times New Roman" w:hAnsi="Times New Roman" w:eastAsia="宋体" w:cs="Times New Roman"/>
      <w:kern w:val="2"/>
      <w:sz w:val="18"/>
      <w:szCs w:val="18"/>
    </w:rPr>
  </w:style>
  <w:style w:type="paragraph" w:styleId="13">
    <w:name w:val="List Paragraph"/>
    <w:basedOn w:val="1"/>
    <w:qFormat/>
    <w:uiPriority w:val="34"/>
    <w:pPr>
      <w:widowControl w:val="0"/>
      <w:ind w:firstLine="420" w:firstLineChars="200"/>
      <w:jc w:val="both"/>
    </w:pPr>
    <w:rPr>
      <w:rFonts w:ascii="Times New Roman" w:hAnsi="Times New Roman" w:cs="Times New Roman"/>
      <w:kern w:val="2"/>
      <w:sz w:val="21"/>
    </w:rPr>
  </w:style>
  <w:style w:type="character" w:customStyle="1" w:styleId="14">
    <w:name w:val="日期 Char"/>
    <w:basedOn w:val="10"/>
    <w:link w:val="3"/>
    <w:semiHidden/>
    <w:uiPriority w:val="99"/>
    <w:rPr>
      <w:rFonts w:ascii="Times New Roman" w:hAnsi="Times New Roman" w:eastAsia="宋体" w:cs="Times New Roman"/>
      <w:kern w:val="2"/>
      <w:sz w:val="21"/>
      <w:szCs w:val="24"/>
    </w:rPr>
  </w:style>
  <w:style w:type="character" w:customStyle="1" w:styleId="15">
    <w:name w:val="批注框文本 Char"/>
    <w:basedOn w:val="10"/>
    <w:link w:val="4"/>
    <w:semiHidden/>
    <w:qFormat/>
    <w:uiPriority w:val="99"/>
    <w:rPr>
      <w:rFonts w:ascii="Times New Roman" w:hAnsi="Times New Roman" w:eastAsia="宋体" w:cs="Times New Roman"/>
      <w:kern w:val="2"/>
      <w:sz w:val="18"/>
      <w:szCs w:val="18"/>
    </w:rPr>
  </w:style>
  <w:style w:type="paragraph" w:styleId="16">
    <w:name w:val="No Spacing"/>
    <w:qFormat/>
    <w:uiPriority w:val="1"/>
    <w:pPr>
      <w:widowControl w:val="0"/>
      <w:spacing w:after="0" w:line="240" w:lineRule="auto"/>
      <w:jc w:val="both"/>
    </w:pPr>
    <w:rPr>
      <w:rFonts w:ascii="宋体" w:hAnsi="Calibri" w:eastAsia="宋体" w:cs="Times New Roman"/>
      <w:kern w:val="2"/>
      <w:sz w:val="21"/>
      <w:szCs w:val="24"/>
      <w:lang w:val="en-US" w:eastAsia="zh-CN" w:bidi="ar-SA"/>
    </w:rPr>
  </w:style>
  <w:style w:type="paragraph" w:customStyle="1" w:styleId="17">
    <w:name w:val="p0"/>
    <w:basedOn w:val="1"/>
    <w:uiPriority w:val="0"/>
    <w:pPr>
      <w:jc w:val="both"/>
    </w:pPr>
    <w:rPr>
      <w:rFonts w:ascii="Times New Roman" w:hAnsi="Times New Roman" w:cs="Times New Roman"/>
      <w:sz w:val="21"/>
      <w:szCs w:val="21"/>
    </w:rPr>
  </w:style>
  <w:style w:type="paragraph" w:customStyle="1" w:styleId="18">
    <w:name w:val="p15"/>
    <w:basedOn w:val="1"/>
    <w:qFormat/>
    <w:uiPriority w:val="0"/>
    <w:pPr>
      <w:adjustRightInd w:val="0"/>
    </w:pPr>
    <w:rPr>
      <w:rFonts w:ascii="Arial Unicode MS" w:hAnsi="Arial Unicode MS"/>
      <w:color w:val="000000"/>
    </w:rPr>
  </w:style>
  <w:style w:type="paragraph" w:customStyle="1" w:styleId="19">
    <w:name w:val="Table Paragraph"/>
    <w:basedOn w:val="1"/>
    <w:qFormat/>
    <w:uiPriority w:val="1"/>
    <w:pPr>
      <w:widowControl w:val="0"/>
      <w:autoSpaceDE w:val="0"/>
      <w:autoSpaceDN w:val="0"/>
      <w:ind w:left="102"/>
    </w:pPr>
    <w:rPr>
      <w:rFonts w:ascii="Times New Roman"/>
      <w:sz w:val="22"/>
      <w:szCs w:val="22"/>
      <w:lang w:val="zh-CN" w:bidi="zh-CN"/>
    </w:rPr>
  </w:style>
  <w:style w:type="paragraph" w:customStyle="1" w:styleId="20">
    <w:name w:val="样式4"/>
    <w:basedOn w:val="1"/>
    <w:qFormat/>
    <w:uiPriority w:val="0"/>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A661B-C4D1-43AA-9017-89FB201D9933}">
  <ds:schemaRefs/>
</ds:datastoreItem>
</file>

<file path=docProps/app.xml><?xml version="1.0" encoding="utf-8"?>
<Properties xmlns="http://schemas.openxmlformats.org/officeDocument/2006/extended-properties" xmlns:vt="http://schemas.openxmlformats.org/officeDocument/2006/docPropsVTypes">
  <Template>Normal</Template>
  <Pages>1</Pages>
  <Words>205</Words>
  <Characters>213</Characters>
  <Lines>5</Lines>
  <Paragraphs>1</Paragraphs>
  <TotalTime>3</TotalTime>
  <ScaleCrop>false</ScaleCrop>
  <LinksUpToDate>false</LinksUpToDate>
  <CharactersWithSpaces>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2018-04-19T01:25:00Z</dcterms:created>
  <dc:creator>xtzj</dc:creator>
  <cp:lastModifiedBy>huang</cp:lastModifiedBy>
  <cp:lastPrinted>2023-01-12T01:45:10Z</cp:lastPrinted>
  <dcterms:modified xsi:type="dcterms:W3CDTF">2023-01-12T01:47:13Z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8CC53970ABF94882A803F7D49D702D5B</vt:lpwstr>
  </property>
</Properties>
</file>